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1C7D2E" w:rsidTr="00057A4A">
        <w:trPr>
          <w:trHeight w:val="1440"/>
        </w:trPr>
        <w:tc>
          <w:tcPr>
            <w:tcW w:w="2381" w:type="dxa"/>
          </w:tcPr>
          <w:p w:rsidR="001C7D2E" w:rsidRDefault="001C7D2E" w:rsidP="00057A4A">
            <w:pPr>
              <w:pStyle w:val="ZCom"/>
            </w:pPr>
            <w:r>
              <w:rPr>
                <w:noProof/>
                <w:sz w:val="20"/>
                <w:szCs w:val="20"/>
                <w:lang w:val="fr-BE" w:eastAsia="fr-BE"/>
              </w:rPr>
              <w:drawing>
                <wp:inline distT="0" distB="0" distL="0" distR="0" wp14:anchorId="2CC548DB" wp14:editId="2788BB33">
                  <wp:extent cx="1367790" cy="668020"/>
                  <wp:effectExtent l="0" t="0" r="3810" b="0"/>
                  <wp:docPr id="2" name="Picture 2" descr="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668020"/>
                          </a:xfrm>
                          <a:prstGeom prst="rect">
                            <a:avLst/>
                          </a:prstGeom>
                          <a:noFill/>
                          <a:ln>
                            <a:noFill/>
                          </a:ln>
                        </pic:spPr>
                      </pic:pic>
                    </a:graphicData>
                  </a:graphic>
                </wp:inline>
              </w:drawing>
            </w:r>
          </w:p>
        </w:tc>
        <w:tc>
          <w:tcPr>
            <w:tcW w:w="7087" w:type="dxa"/>
          </w:tcPr>
          <w:p w:rsidR="001C7D2E" w:rsidRDefault="001C7D2E" w:rsidP="00057A4A">
            <w:pPr>
              <w:pStyle w:val="ZCom"/>
              <w:spacing w:before="90"/>
            </w:pPr>
            <w:r>
              <w:t>EUROPEAN COMMISSION</w:t>
            </w:r>
          </w:p>
          <w:p w:rsidR="001C7D2E" w:rsidRDefault="001C7D2E" w:rsidP="00057A4A">
            <w:pPr>
              <w:pStyle w:val="ZDGName"/>
            </w:pPr>
            <w:r>
              <w:t>Directorate-General for Communications Networks, Content and Technology</w:t>
            </w:r>
          </w:p>
          <w:p w:rsidR="001C7D2E" w:rsidRDefault="001C7D2E" w:rsidP="00057A4A">
            <w:pPr>
              <w:pStyle w:val="ZDGName"/>
            </w:pPr>
          </w:p>
          <w:p w:rsidR="001C7D2E" w:rsidRDefault="001C7D2E" w:rsidP="00057A4A">
            <w:pPr>
              <w:pStyle w:val="ZDGName"/>
            </w:pPr>
            <w:r>
              <w:t>Data</w:t>
            </w:r>
          </w:p>
          <w:p w:rsidR="001C7D2E" w:rsidRDefault="001C7D2E" w:rsidP="00057A4A">
            <w:pPr>
              <w:pStyle w:val="ZDGName"/>
            </w:pPr>
            <w:r>
              <w:rPr>
                <w:b/>
                <w:bCs/>
              </w:rPr>
              <w:t>Accessibility, Multilingualism and Safer Internet</w:t>
            </w:r>
          </w:p>
        </w:tc>
      </w:tr>
    </w:tbl>
    <w:p w:rsidR="001C7D2E" w:rsidRPr="00FE19DD" w:rsidRDefault="001C7D2E" w:rsidP="001C7D2E">
      <w:pPr>
        <w:pStyle w:val="Title"/>
        <w:spacing w:before="480" w:after="120"/>
        <w:rPr>
          <w:rFonts w:asciiTheme="minorHAnsi" w:hAnsiTheme="minorHAnsi" w:cstheme="minorHAnsi"/>
          <w:sz w:val="40"/>
        </w:rPr>
      </w:pPr>
      <w:r w:rsidRPr="00FE19DD">
        <w:rPr>
          <w:rFonts w:asciiTheme="minorHAnsi" w:hAnsiTheme="minorHAnsi" w:cstheme="minorHAnsi"/>
          <w:sz w:val="40"/>
        </w:rPr>
        <w:t xml:space="preserve">Stakeholder Consultation on </w:t>
      </w:r>
      <w:r w:rsidRPr="00FE19DD">
        <w:rPr>
          <w:rFonts w:asciiTheme="minorHAnsi" w:hAnsiTheme="minorHAnsi" w:cstheme="minorHAnsi"/>
          <w:sz w:val="40"/>
        </w:rPr>
        <w:br/>
        <w:t>Language Technologies &amp; Web Accessibility</w:t>
      </w:r>
    </w:p>
    <w:p w:rsidR="001C7D2E" w:rsidRDefault="001C7D2E" w:rsidP="001C7D2E">
      <w:pPr>
        <w:pStyle w:val="Subtitle"/>
        <w:spacing w:after="0"/>
        <w:rPr>
          <w:rFonts w:asciiTheme="minorHAnsi" w:hAnsiTheme="minorHAnsi" w:cstheme="minorHAnsi"/>
          <w:sz w:val="28"/>
        </w:rPr>
      </w:pPr>
      <w:r w:rsidRPr="00FE19DD">
        <w:rPr>
          <w:rFonts w:asciiTheme="minorHAnsi" w:hAnsiTheme="minorHAnsi" w:cstheme="minorHAnsi"/>
          <w:sz w:val="28"/>
        </w:rPr>
        <w:t>Luxembourg 3-4 October 2019</w:t>
      </w:r>
    </w:p>
    <w:p w:rsidR="004D3670" w:rsidRPr="001C7D2E" w:rsidRDefault="001C7D2E" w:rsidP="001C7D2E">
      <w:pPr>
        <w:pStyle w:val="Title"/>
        <w:spacing w:before="360" w:after="840"/>
        <w:rPr>
          <w:rFonts w:asciiTheme="minorHAnsi" w:hAnsiTheme="minorHAnsi" w:cstheme="minorHAnsi"/>
          <w:caps/>
        </w:rPr>
      </w:pPr>
      <w:r w:rsidRPr="001C7D2E">
        <w:rPr>
          <w:rFonts w:asciiTheme="minorHAnsi" w:hAnsiTheme="minorHAnsi" w:cstheme="minorHAnsi"/>
          <w:caps/>
          <w:sz w:val="36"/>
        </w:rPr>
        <w:t>Background information</w:t>
      </w:r>
    </w:p>
    <w:p w:rsidR="004D3670" w:rsidRPr="001C7D2E" w:rsidRDefault="00690306" w:rsidP="001C7D2E">
      <w:pPr>
        <w:pStyle w:val="Heading2"/>
        <w:spacing w:before="0" w:after="120"/>
        <w:rPr>
          <w:rFonts w:asciiTheme="minorHAnsi" w:hAnsiTheme="minorHAnsi"/>
          <w:b/>
          <w:color w:val="auto"/>
          <w:sz w:val="36"/>
        </w:rPr>
      </w:pPr>
      <w:r w:rsidRPr="001C7D2E">
        <w:rPr>
          <w:rFonts w:asciiTheme="minorHAnsi" w:hAnsiTheme="minorHAnsi"/>
          <w:b/>
          <w:color w:val="auto"/>
          <w:sz w:val="36"/>
        </w:rPr>
        <w:t>Next Generation Internet</w:t>
      </w:r>
    </w:p>
    <w:p w:rsidR="004D3670" w:rsidRPr="001C7D2E" w:rsidRDefault="004D3670" w:rsidP="001C7D2E">
      <w:pPr>
        <w:spacing w:after="240"/>
        <w:rPr>
          <w:i/>
          <w:sz w:val="24"/>
          <w:szCs w:val="24"/>
        </w:rPr>
      </w:pPr>
      <w:r w:rsidRPr="001C7D2E">
        <w:rPr>
          <w:sz w:val="28"/>
          <w:szCs w:val="24"/>
        </w:rPr>
        <w:t>The ‘Next Generation Internet’ is an intervention area under Cluster 4 ‘Digital, industry and space’ of Pillar II ‘Global Challenges and European Industrial Competitiveness’ of Horizon Europe.</w:t>
      </w:r>
    </w:p>
    <w:p w:rsidR="004D3670" w:rsidRPr="001C7D2E" w:rsidRDefault="004D3670" w:rsidP="001C7D2E">
      <w:pPr>
        <w:spacing w:after="120"/>
        <w:rPr>
          <w:sz w:val="24"/>
          <w:szCs w:val="24"/>
        </w:rPr>
      </w:pPr>
      <w:r w:rsidRPr="001C7D2E">
        <w:rPr>
          <w:sz w:val="24"/>
          <w:szCs w:val="24"/>
        </w:rPr>
        <w:t>Under the Next Generation Internet, Horizon Europe intends to support research on:</w:t>
      </w:r>
    </w:p>
    <w:p w:rsidR="004D3670" w:rsidRPr="001C7D2E" w:rsidRDefault="004D3670" w:rsidP="001C7D2E">
      <w:pPr>
        <w:pStyle w:val="ListParagraph"/>
        <w:numPr>
          <w:ilvl w:val="0"/>
          <w:numId w:val="2"/>
        </w:numPr>
        <w:spacing w:after="120"/>
        <w:ind w:left="714" w:hanging="357"/>
        <w:contextualSpacing w:val="0"/>
        <w:rPr>
          <w:sz w:val="24"/>
          <w:szCs w:val="24"/>
        </w:rPr>
      </w:pPr>
      <w:r w:rsidRPr="001C7D2E">
        <w:rPr>
          <w:sz w:val="24"/>
          <w:szCs w:val="24"/>
        </w:rPr>
        <w:t>personalised solutions to increase web acce</w:t>
      </w:r>
      <w:r w:rsidR="007E5BA8">
        <w:rPr>
          <w:sz w:val="24"/>
          <w:szCs w:val="24"/>
        </w:rPr>
        <w:t>ssibility and digital inclusion;</w:t>
      </w:r>
    </w:p>
    <w:p w:rsidR="004D3670" w:rsidRPr="001C7D2E" w:rsidRDefault="004D3670" w:rsidP="001C7D2E">
      <w:pPr>
        <w:pStyle w:val="ListParagraph"/>
        <w:numPr>
          <w:ilvl w:val="0"/>
          <w:numId w:val="2"/>
        </w:numPr>
        <w:spacing w:after="120"/>
        <w:ind w:left="714" w:hanging="357"/>
        <w:contextualSpacing w:val="0"/>
        <w:rPr>
          <w:sz w:val="24"/>
          <w:szCs w:val="24"/>
        </w:rPr>
      </w:pPr>
      <w:r w:rsidRPr="001C7D2E">
        <w:rPr>
          <w:sz w:val="24"/>
          <w:szCs w:val="24"/>
        </w:rPr>
        <w:t>language technology to foster competitiveness and language diversity and improve human machine in</w:t>
      </w:r>
      <w:r w:rsidR="007E5BA8">
        <w:rPr>
          <w:sz w:val="24"/>
          <w:szCs w:val="24"/>
        </w:rPr>
        <w:t>teraction</w:t>
      </w:r>
      <w:r w:rsidRPr="001C7D2E">
        <w:rPr>
          <w:sz w:val="24"/>
          <w:szCs w:val="24"/>
        </w:rPr>
        <w:t>.</w:t>
      </w:r>
    </w:p>
    <w:p w:rsidR="00690306" w:rsidRPr="001C7D2E" w:rsidRDefault="00690306" w:rsidP="001C7D2E">
      <w:pPr>
        <w:spacing w:before="480" w:after="240" w:line="288" w:lineRule="auto"/>
        <w:rPr>
          <w:sz w:val="24"/>
          <w:szCs w:val="24"/>
        </w:rPr>
      </w:pPr>
      <w:r w:rsidRPr="001C7D2E">
        <w:rPr>
          <w:sz w:val="24"/>
          <w:szCs w:val="24"/>
        </w:rPr>
        <w:t>The Internet has become the critical infrastructure for Europe as many social and economic activities depend on it.</w:t>
      </w:r>
    </w:p>
    <w:p w:rsidR="00690306" w:rsidRPr="001C7D2E" w:rsidRDefault="00690306" w:rsidP="001C7D2E">
      <w:pPr>
        <w:spacing w:after="240" w:line="288" w:lineRule="auto"/>
        <w:rPr>
          <w:sz w:val="24"/>
          <w:szCs w:val="24"/>
        </w:rPr>
      </w:pPr>
      <w:r w:rsidRPr="001C7D2E">
        <w:rPr>
          <w:sz w:val="24"/>
          <w:szCs w:val="24"/>
        </w:rPr>
        <w:t>The Internet of today has significant limitations. The risk of breaches of security or privacy, lack of accessibility, lack of user control of their data, and manipulation or disinformation are some of the major challenges to be tackled.</w:t>
      </w:r>
    </w:p>
    <w:p w:rsidR="00690306" w:rsidRPr="001C7D2E" w:rsidRDefault="00690306" w:rsidP="001C7D2E">
      <w:pPr>
        <w:spacing w:after="240" w:line="288" w:lineRule="auto"/>
        <w:rPr>
          <w:sz w:val="24"/>
          <w:szCs w:val="24"/>
        </w:rPr>
      </w:pPr>
      <w:r w:rsidRPr="001C7D2E">
        <w:rPr>
          <w:sz w:val="24"/>
          <w:szCs w:val="24"/>
        </w:rPr>
        <w:t>Furthermore, the internet economy is vulnerable to concentration of market positions from devices to networks. Concentration in few powerful providers generate potential threats of user lock-in. Breaches of citizen's security or privacy, lack of accessibility, lack of user control of their data, and manipulation or disinformation are some of the major challenges to be tackled.</w:t>
      </w:r>
    </w:p>
    <w:p w:rsidR="00690306" w:rsidRPr="001C7D2E" w:rsidRDefault="00690306" w:rsidP="001C7D2E">
      <w:pPr>
        <w:spacing w:after="240" w:line="288" w:lineRule="auto"/>
        <w:rPr>
          <w:sz w:val="24"/>
          <w:szCs w:val="24"/>
        </w:rPr>
      </w:pPr>
      <w:r w:rsidRPr="001C7D2E">
        <w:rPr>
          <w:sz w:val="24"/>
          <w:szCs w:val="24"/>
        </w:rPr>
        <w:lastRenderedPageBreak/>
        <w:t>Being a global network of networks Europe has no choice but to invest further in R&amp;I to be a leading force shaping its technological and market development.</w:t>
      </w:r>
    </w:p>
    <w:p w:rsidR="00690306" w:rsidRPr="001C7D2E" w:rsidRDefault="00690306" w:rsidP="001C7D2E">
      <w:pPr>
        <w:spacing w:after="240" w:line="288" w:lineRule="auto"/>
        <w:rPr>
          <w:sz w:val="24"/>
          <w:szCs w:val="24"/>
        </w:rPr>
      </w:pPr>
      <w:r w:rsidRPr="001C7D2E">
        <w:rPr>
          <w:sz w:val="24"/>
          <w:szCs w:val="24"/>
        </w:rPr>
        <w:t>The next generation Internet (NGI) initiative aims to develop the key technology building blocks and the infrastructures for the Internet of tomorrow, while addressing the growing societal and political concerns and service needs, with a human-centric trustworthy internet enabling full connectivity and accessibility and collective intelligence (people, processes, data, content and things) and safeguarding core European values. It aims at supporting an autonomous European Internet supply chain, which can meet the future industrial and societal needs establishing Smart Networks and Services (including Internet of Things, cloud/edge computing continuum, and cognitive cloud) and Content platforms. The initiative addresses the innovative immersive, media and business applications supported by such platforms. It builds on a comprehensive strategy including a technology push and an application/ market/end-user pull, and composed of technological layers with different time to market cycles.</w:t>
      </w:r>
    </w:p>
    <w:p w:rsidR="00690306" w:rsidRPr="001C7D2E" w:rsidRDefault="00690306" w:rsidP="001C7D2E">
      <w:pPr>
        <w:spacing w:after="240" w:line="288" w:lineRule="auto"/>
        <w:rPr>
          <w:sz w:val="24"/>
          <w:szCs w:val="24"/>
        </w:rPr>
      </w:pPr>
      <w:r w:rsidRPr="001C7D2E">
        <w:rPr>
          <w:sz w:val="24"/>
          <w:szCs w:val="24"/>
        </w:rPr>
        <w:t xml:space="preserve">Interactive Technologies, including immersive technologies and language technologies, will allow for a more inclusive, user-oriented/driven and innovative use of computers, machines and the Internet. </w:t>
      </w:r>
    </w:p>
    <w:p w:rsidR="004D3670" w:rsidRPr="001C7D2E" w:rsidRDefault="00690306" w:rsidP="001C7D2E">
      <w:pPr>
        <w:spacing w:after="240" w:line="288" w:lineRule="auto"/>
        <w:rPr>
          <w:sz w:val="24"/>
          <w:szCs w:val="24"/>
        </w:rPr>
      </w:pPr>
      <w:r w:rsidRPr="001C7D2E">
        <w:rPr>
          <w:sz w:val="24"/>
          <w:szCs w:val="24"/>
        </w:rPr>
        <w:t>Distributed ledger technologies, being cross-cutting enabling technologies which support efficiency and trust in validation of transactions, can enable the development of EU data spaces while empowering citizens, public services and businesses to control and share access to data.</w:t>
      </w:r>
    </w:p>
    <w:p w:rsidR="004D3670" w:rsidRPr="001C7D2E" w:rsidRDefault="004D3670" w:rsidP="001C7D2E">
      <w:pPr>
        <w:pStyle w:val="Heading2"/>
        <w:spacing w:before="840" w:after="120"/>
        <w:rPr>
          <w:rFonts w:asciiTheme="minorHAnsi" w:hAnsiTheme="minorHAnsi"/>
          <w:b/>
          <w:color w:val="auto"/>
          <w:sz w:val="36"/>
        </w:rPr>
      </w:pPr>
      <w:r w:rsidRPr="001C7D2E">
        <w:rPr>
          <w:rFonts w:asciiTheme="minorHAnsi" w:hAnsiTheme="minorHAnsi"/>
          <w:b/>
          <w:color w:val="auto"/>
          <w:sz w:val="36"/>
        </w:rPr>
        <w:t>Horizon Europe</w:t>
      </w:r>
    </w:p>
    <w:p w:rsidR="004D3670" w:rsidRPr="001C7D2E" w:rsidRDefault="007E5BA8" w:rsidP="004D3670">
      <w:pPr>
        <w:pStyle w:val="ListParagraph"/>
        <w:numPr>
          <w:ilvl w:val="0"/>
          <w:numId w:val="1"/>
        </w:numPr>
        <w:spacing w:after="120"/>
        <w:ind w:hanging="357"/>
        <w:contextualSpacing w:val="0"/>
        <w:rPr>
          <w:b/>
          <w:sz w:val="24"/>
          <w:szCs w:val="24"/>
        </w:rPr>
      </w:pPr>
      <w:hyperlink r:id="rId8" w:history="1">
        <w:r>
          <w:rPr>
            <w:rStyle w:val="Hyperlink"/>
            <w:b/>
            <w:color w:val="auto"/>
            <w:sz w:val="24"/>
            <w:szCs w:val="24"/>
          </w:rPr>
          <w:t>About the</w:t>
        </w:r>
        <w:r w:rsidR="004D3670" w:rsidRPr="001C7D2E">
          <w:rPr>
            <w:rStyle w:val="Hyperlink"/>
            <w:b/>
            <w:color w:val="auto"/>
            <w:sz w:val="24"/>
            <w:szCs w:val="24"/>
          </w:rPr>
          <w:t xml:space="preserve"> Horizon Europ</w:t>
        </w:r>
        <w:r>
          <w:rPr>
            <w:rStyle w:val="Hyperlink"/>
            <w:b/>
            <w:color w:val="auto"/>
            <w:sz w:val="24"/>
            <w:szCs w:val="24"/>
          </w:rPr>
          <w:t>e programm</w:t>
        </w:r>
        <w:r w:rsidR="004D3670" w:rsidRPr="001C7D2E">
          <w:rPr>
            <w:rStyle w:val="Hyperlink"/>
            <w:b/>
            <w:color w:val="auto"/>
            <w:sz w:val="24"/>
            <w:szCs w:val="24"/>
          </w:rPr>
          <w:t>e</w:t>
        </w:r>
      </w:hyperlink>
    </w:p>
    <w:p w:rsidR="004D3670" w:rsidRPr="001C7D2E" w:rsidRDefault="007E5BA8" w:rsidP="004D3670">
      <w:pPr>
        <w:pStyle w:val="ListParagraph"/>
        <w:numPr>
          <w:ilvl w:val="1"/>
          <w:numId w:val="1"/>
        </w:numPr>
        <w:spacing w:after="120"/>
        <w:ind w:hanging="357"/>
        <w:contextualSpacing w:val="0"/>
        <w:rPr>
          <w:sz w:val="24"/>
          <w:szCs w:val="24"/>
        </w:rPr>
      </w:pPr>
      <w:hyperlink r:id="rId9" w:tgtFrame="_blank" w:history="1">
        <w:r w:rsidR="004D3670" w:rsidRPr="001C7D2E">
          <w:rPr>
            <w:rStyle w:val="Hyperlink"/>
            <w:color w:val="auto"/>
            <w:sz w:val="24"/>
            <w:szCs w:val="24"/>
          </w:rPr>
          <w:t>Orientations</w:t>
        </w:r>
      </w:hyperlink>
      <w:r w:rsidR="004D3670" w:rsidRPr="001C7D2E">
        <w:rPr>
          <w:sz w:val="24"/>
          <w:szCs w:val="24"/>
        </w:rPr>
        <w:t xml:space="preserve"> towards the first Strategic Plan implementing the research and innovation framework programme Horizon Europe. </w:t>
      </w:r>
    </w:p>
    <w:p w:rsidR="004D3670" w:rsidRPr="001C7D2E" w:rsidRDefault="007E5BA8" w:rsidP="004D3670">
      <w:pPr>
        <w:pStyle w:val="ListParagraph"/>
        <w:numPr>
          <w:ilvl w:val="1"/>
          <w:numId w:val="1"/>
        </w:numPr>
        <w:spacing w:after="120"/>
        <w:contextualSpacing w:val="0"/>
        <w:rPr>
          <w:sz w:val="24"/>
          <w:szCs w:val="24"/>
        </w:rPr>
      </w:pPr>
      <w:hyperlink r:id="rId10" w:history="1">
        <w:r w:rsidR="004D3670" w:rsidRPr="001C7D2E">
          <w:rPr>
            <w:rStyle w:val="Hyperlink"/>
            <w:color w:val="auto"/>
            <w:sz w:val="24"/>
            <w:szCs w:val="24"/>
          </w:rPr>
          <w:t>Co-design consultation 2021-2024</w:t>
        </w:r>
      </w:hyperlink>
      <w:r w:rsidR="004D3670" w:rsidRPr="001C7D2E">
        <w:rPr>
          <w:sz w:val="24"/>
          <w:szCs w:val="24"/>
        </w:rPr>
        <w:t> (closes on 4 October) </w:t>
      </w:r>
    </w:p>
    <w:p w:rsidR="004D3670" w:rsidRPr="001C7D2E" w:rsidRDefault="007E5BA8" w:rsidP="004D3670">
      <w:pPr>
        <w:pStyle w:val="ListParagraph"/>
        <w:numPr>
          <w:ilvl w:val="1"/>
          <w:numId w:val="1"/>
        </w:numPr>
        <w:spacing w:after="120"/>
        <w:ind w:hanging="357"/>
        <w:contextualSpacing w:val="0"/>
        <w:rPr>
          <w:rStyle w:val="filetitle"/>
          <w:sz w:val="24"/>
          <w:szCs w:val="24"/>
        </w:rPr>
      </w:pPr>
      <w:hyperlink r:id="rId11" w:history="1">
        <w:r w:rsidR="004D3670" w:rsidRPr="001C7D2E">
          <w:rPr>
            <w:rStyle w:val="Hyperlink"/>
            <w:color w:val="auto"/>
            <w:sz w:val="24"/>
            <w:szCs w:val="24"/>
          </w:rPr>
          <w:t>Brief interim report</w:t>
        </w:r>
      </w:hyperlink>
      <w:r w:rsidR="004D3670" w:rsidRPr="001C7D2E">
        <w:rPr>
          <w:rStyle w:val="filetitle"/>
          <w:sz w:val="24"/>
          <w:szCs w:val="24"/>
        </w:rPr>
        <w:t xml:space="preserve"> on the web-based consultation</w:t>
      </w:r>
    </w:p>
    <w:p w:rsidR="004D3670" w:rsidRPr="001C7D2E" w:rsidRDefault="004D3670" w:rsidP="004D3670">
      <w:pPr>
        <w:pStyle w:val="ListParagraph"/>
        <w:numPr>
          <w:ilvl w:val="1"/>
          <w:numId w:val="1"/>
        </w:numPr>
        <w:spacing w:after="120"/>
        <w:contextualSpacing w:val="0"/>
        <w:rPr>
          <w:sz w:val="24"/>
          <w:szCs w:val="24"/>
        </w:rPr>
      </w:pPr>
      <w:r w:rsidRPr="001C7D2E">
        <w:rPr>
          <w:sz w:val="24"/>
          <w:szCs w:val="24"/>
        </w:rPr>
        <w:t xml:space="preserve">Horizon Europe - </w:t>
      </w:r>
      <w:hyperlink r:id="rId12" w:history="1">
        <w:r w:rsidRPr="001C7D2E">
          <w:rPr>
            <w:rStyle w:val="Hyperlink"/>
            <w:color w:val="auto"/>
            <w:sz w:val="24"/>
            <w:szCs w:val="24"/>
          </w:rPr>
          <w:t>Investing to shape our future</w:t>
        </w:r>
      </w:hyperlink>
    </w:p>
    <w:p w:rsidR="001C7D2E" w:rsidRDefault="001C7D2E">
      <w:pPr>
        <w:rPr>
          <w:rFonts w:eastAsiaTheme="majorEastAsia" w:cstheme="majorBidi"/>
          <w:b/>
          <w:sz w:val="36"/>
          <w:szCs w:val="26"/>
        </w:rPr>
      </w:pPr>
      <w:r>
        <w:rPr>
          <w:b/>
          <w:sz w:val="36"/>
        </w:rPr>
        <w:br w:type="page"/>
      </w:r>
    </w:p>
    <w:p w:rsidR="004D3670" w:rsidRPr="001C7D2E" w:rsidRDefault="004D3670" w:rsidP="007E5BA8">
      <w:pPr>
        <w:pStyle w:val="Heading2"/>
        <w:spacing w:before="0" w:after="120"/>
        <w:rPr>
          <w:rFonts w:asciiTheme="minorHAnsi" w:hAnsiTheme="minorHAnsi"/>
          <w:b/>
          <w:color w:val="auto"/>
          <w:sz w:val="36"/>
        </w:rPr>
      </w:pPr>
      <w:r w:rsidRPr="001C7D2E">
        <w:rPr>
          <w:rFonts w:asciiTheme="minorHAnsi" w:hAnsiTheme="minorHAnsi"/>
          <w:b/>
          <w:color w:val="auto"/>
          <w:sz w:val="36"/>
        </w:rPr>
        <w:lastRenderedPageBreak/>
        <w:t>Web Accessibility</w:t>
      </w:r>
    </w:p>
    <w:p w:rsidR="00690B2E" w:rsidRPr="001C7D2E" w:rsidRDefault="00690B2E" w:rsidP="007E5BA8">
      <w:pPr>
        <w:pStyle w:val="ListParagraph"/>
        <w:numPr>
          <w:ilvl w:val="0"/>
          <w:numId w:val="1"/>
        </w:numPr>
        <w:spacing w:after="120"/>
        <w:ind w:hanging="357"/>
        <w:contextualSpacing w:val="0"/>
        <w:rPr>
          <w:sz w:val="24"/>
          <w:szCs w:val="24"/>
        </w:rPr>
      </w:pPr>
      <w:r w:rsidRPr="001C7D2E">
        <w:rPr>
          <w:rFonts w:cs="Segoe UI"/>
          <w:sz w:val="24"/>
          <w:szCs w:val="24"/>
          <w:shd w:val="clear" w:color="auto" w:fill="FFFFFF"/>
        </w:rPr>
        <w:t>Directive (EU) 2016/2102 of the European Parliament and of the Council of 26 October 2016 on the accessibility of the websites and mobile applications of public sector bodies </w:t>
      </w:r>
    </w:p>
    <w:p w:rsidR="00AA513A" w:rsidRPr="001C7D2E" w:rsidRDefault="007E5BA8" w:rsidP="007E5BA8">
      <w:pPr>
        <w:pStyle w:val="ListParagraph"/>
        <w:numPr>
          <w:ilvl w:val="1"/>
          <w:numId w:val="1"/>
        </w:numPr>
        <w:spacing w:after="120"/>
        <w:ind w:hanging="357"/>
        <w:contextualSpacing w:val="0"/>
        <w:rPr>
          <w:sz w:val="24"/>
          <w:szCs w:val="24"/>
        </w:rPr>
      </w:pPr>
      <w:hyperlink r:id="rId13" w:history="1">
        <w:r w:rsidR="001C7D2E">
          <w:rPr>
            <w:rStyle w:val="Hyperlink"/>
            <w:color w:val="auto"/>
            <w:sz w:val="24"/>
            <w:szCs w:val="24"/>
          </w:rPr>
          <w:t>About</w:t>
        </w:r>
        <w:r w:rsidR="004D3670" w:rsidRPr="001C7D2E">
          <w:rPr>
            <w:rStyle w:val="Hyperlink"/>
            <w:color w:val="auto"/>
            <w:sz w:val="24"/>
            <w:szCs w:val="24"/>
          </w:rPr>
          <w:t xml:space="preserve"> the D</w:t>
        </w:r>
        <w:r w:rsidR="00AA513A" w:rsidRPr="001C7D2E">
          <w:rPr>
            <w:rStyle w:val="Hyperlink"/>
            <w:color w:val="auto"/>
            <w:sz w:val="24"/>
            <w:szCs w:val="24"/>
          </w:rPr>
          <w:t>irective</w:t>
        </w:r>
      </w:hyperlink>
      <w:r w:rsidR="00690B2E" w:rsidRPr="001C7D2E">
        <w:rPr>
          <w:rStyle w:val="Hyperlink"/>
          <w:color w:val="auto"/>
          <w:sz w:val="24"/>
          <w:szCs w:val="24"/>
        </w:rPr>
        <w:t xml:space="preserve"> </w:t>
      </w:r>
    </w:p>
    <w:p w:rsidR="00AA513A" w:rsidRPr="001C7D2E" w:rsidRDefault="00AA513A" w:rsidP="007E5BA8">
      <w:pPr>
        <w:pStyle w:val="ListParagraph"/>
        <w:numPr>
          <w:ilvl w:val="1"/>
          <w:numId w:val="1"/>
        </w:numPr>
        <w:spacing w:after="120"/>
        <w:ind w:hanging="357"/>
        <w:contextualSpacing w:val="0"/>
        <w:rPr>
          <w:sz w:val="24"/>
          <w:szCs w:val="24"/>
        </w:rPr>
      </w:pPr>
      <w:r w:rsidRPr="001C7D2E">
        <w:rPr>
          <w:sz w:val="24"/>
          <w:szCs w:val="24"/>
        </w:rPr>
        <w:t xml:space="preserve">Implementing decision </w:t>
      </w:r>
      <w:hyperlink r:id="rId14" w:history="1">
        <w:r w:rsidRPr="001C7D2E">
          <w:rPr>
            <w:rStyle w:val="Hyperlink"/>
            <w:color w:val="auto"/>
            <w:sz w:val="24"/>
            <w:szCs w:val="24"/>
          </w:rPr>
          <w:t>monitoring and reporting</w:t>
        </w:r>
      </w:hyperlink>
    </w:p>
    <w:p w:rsidR="00AA513A" w:rsidRPr="001C7D2E" w:rsidRDefault="00AA513A" w:rsidP="007E5BA8">
      <w:pPr>
        <w:pStyle w:val="ListParagraph"/>
        <w:numPr>
          <w:ilvl w:val="1"/>
          <w:numId w:val="1"/>
        </w:numPr>
        <w:spacing w:after="120"/>
        <w:ind w:hanging="357"/>
        <w:contextualSpacing w:val="0"/>
        <w:rPr>
          <w:sz w:val="24"/>
          <w:szCs w:val="24"/>
        </w:rPr>
      </w:pPr>
      <w:r w:rsidRPr="001C7D2E">
        <w:rPr>
          <w:sz w:val="24"/>
          <w:szCs w:val="24"/>
        </w:rPr>
        <w:t xml:space="preserve">Implementing decision </w:t>
      </w:r>
      <w:hyperlink r:id="rId15" w:history="1">
        <w:r w:rsidRPr="001C7D2E">
          <w:rPr>
            <w:rStyle w:val="Hyperlink"/>
            <w:color w:val="auto"/>
            <w:sz w:val="24"/>
            <w:szCs w:val="24"/>
          </w:rPr>
          <w:t>accessibility statement</w:t>
        </w:r>
      </w:hyperlink>
    </w:p>
    <w:p w:rsidR="00AA513A" w:rsidRPr="001C7D2E" w:rsidRDefault="00AA513A" w:rsidP="007E5BA8">
      <w:pPr>
        <w:pStyle w:val="ListParagraph"/>
        <w:numPr>
          <w:ilvl w:val="1"/>
          <w:numId w:val="1"/>
        </w:numPr>
        <w:spacing w:after="360"/>
        <w:ind w:hanging="357"/>
        <w:contextualSpacing w:val="0"/>
        <w:rPr>
          <w:sz w:val="24"/>
          <w:szCs w:val="24"/>
        </w:rPr>
      </w:pPr>
      <w:r w:rsidRPr="001C7D2E">
        <w:rPr>
          <w:sz w:val="24"/>
          <w:szCs w:val="24"/>
        </w:rPr>
        <w:t xml:space="preserve">Implementing decision </w:t>
      </w:r>
      <w:hyperlink r:id="rId16" w:history="1">
        <w:r w:rsidRPr="001C7D2E">
          <w:rPr>
            <w:rStyle w:val="Hyperlink"/>
            <w:color w:val="auto"/>
            <w:sz w:val="24"/>
            <w:szCs w:val="24"/>
          </w:rPr>
          <w:t>harmonised standard</w:t>
        </w:r>
      </w:hyperlink>
    </w:p>
    <w:p w:rsidR="00AA513A" w:rsidRPr="001C7D2E" w:rsidRDefault="00690B2E" w:rsidP="007E5BA8">
      <w:pPr>
        <w:pStyle w:val="ListParagraph"/>
        <w:numPr>
          <w:ilvl w:val="0"/>
          <w:numId w:val="1"/>
        </w:numPr>
        <w:spacing w:after="240"/>
        <w:contextualSpacing w:val="0"/>
        <w:rPr>
          <w:sz w:val="24"/>
          <w:szCs w:val="24"/>
        </w:rPr>
      </w:pPr>
      <w:r w:rsidRPr="001C7D2E">
        <w:rPr>
          <w:sz w:val="24"/>
          <w:szCs w:val="24"/>
        </w:rPr>
        <w:t xml:space="preserve">Harmonised European standards on accessibility requirements for ICT products and services  </w:t>
      </w:r>
      <w:hyperlink r:id="rId17" w:history="1">
        <w:r w:rsidR="00AA513A" w:rsidRPr="001C7D2E">
          <w:rPr>
            <w:rStyle w:val="Hyperlink"/>
            <w:color w:val="auto"/>
            <w:sz w:val="24"/>
            <w:szCs w:val="24"/>
          </w:rPr>
          <w:t>EN 301 549 v2.1.2</w:t>
        </w:r>
      </w:hyperlink>
    </w:p>
    <w:p w:rsidR="00F6464C" w:rsidRPr="001C7D2E" w:rsidRDefault="007E5BA8" w:rsidP="007E5BA8">
      <w:pPr>
        <w:pStyle w:val="ListParagraph"/>
        <w:numPr>
          <w:ilvl w:val="0"/>
          <w:numId w:val="1"/>
        </w:numPr>
        <w:spacing w:after="120"/>
        <w:contextualSpacing w:val="0"/>
        <w:rPr>
          <w:rStyle w:val="Hyperlink"/>
          <w:color w:val="auto"/>
          <w:sz w:val="24"/>
          <w:szCs w:val="24"/>
          <w:u w:val="none"/>
        </w:rPr>
      </w:pPr>
      <w:hyperlink r:id="rId18" w:history="1">
        <w:r w:rsidR="00F6464C" w:rsidRPr="001C7D2E">
          <w:rPr>
            <w:rStyle w:val="Hyperlink"/>
            <w:color w:val="auto"/>
            <w:sz w:val="24"/>
            <w:szCs w:val="24"/>
          </w:rPr>
          <w:t>EU-funded research projects into technologies for accessibility</w:t>
        </w:r>
      </w:hyperlink>
    </w:p>
    <w:p w:rsidR="004D3670" w:rsidRPr="001C7D2E" w:rsidRDefault="004D3670" w:rsidP="007E5BA8">
      <w:pPr>
        <w:pStyle w:val="Heading2"/>
        <w:spacing w:before="720" w:after="120"/>
        <w:rPr>
          <w:rFonts w:asciiTheme="minorHAnsi" w:hAnsiTheme="minorHAnsi"/>
          <w:b/>
          <w:color w:val="auto"/>
          <w:sz w:val="36"/>
        </w:rPr>
      </w:pPr>
      <w:r w:rsidRPr="001C7D2E">
        <w:rPr>
          <w:rFonts w:asciiTheme="minorHAnsi" w:hAnsiTheme="minorHAnsi"/>
          <w:b/>
          <w:color w:val="auto"/>
          <w:sz w:val="36"/>
        </w:rPr>
        <w:t>Language Technologies</w:t>
      </w:r>
    </w:p>
    <w:p w:rsidR="00C11AC0" w:rsidRPr="001C7D2E" w:rsidRDefault="007E5BA8" w:rsidP="007E5BA8">
      <w:pPr>
        <w:pStyle w:val="ListParagraph"/>
        <w:numPr>
          <w:ilvl w:val="0"/>
          <w:numId w:val="3"/>
        </w:numPr>
        <w:spacing w:after="240"/>
        <w:contextualSpacing w:val="0"/>
        <w:rPr>
          <w:b/>
          <w:sz w:val="24"/>
          <w:szCs w:val="24"/>
        </w:rPr>
      </w:pPr>
      <w:hyperlink r:id="rId19" w:history="1">
        <w:r w:rsidR="00C11AC0" w:rsidRPr="001C7D2E">
          <w:rPr>
            <w:rStyle w:val="Hyperlink"/>
            <w:color w:val="auto"/>
            <w:sz w:val="24"/>
            <w:szCs w:val="24"/>
          </w:rPr>
          <w:t>The European Parliament Resolution on Language Equality in the Digital Age</w:t>
        </w:r>
      </w:hyperlink>
    </w:p>
    <w:p w:rsidR="00C11AC0" w:rsidRPr="001C7D2E" w:rsidRDefault="007E5BA8" w:rsidP="007E5BA8">
      <w:pPr>
        <w:pStyle w:val="ListParagraph"/>
        <w:numPr>
          <w:ilvl w:val="0"/>
          <w:numId w:val="3"/>
        </w:numPr>
        <w:spacing w:after="120"/>
        <w:contextualSpacing w:val="0"/>
        <w:rPr>
          <w:rStyle w:val="Hyperlink"/>
          <w:color w:val="auto"/>
          <w:sz w:val="24"/>
          <w:szCs w:val="24"/>
          <w:u w:val="none"/>
        </w:rPr>
      </w:pPr>
      <w:hyperlink r:id="rId20" w:history="1">
        <w:r w:rsidR="00C11AC0" w:rsidRPr="001C7D2E">
          <w:rPr>
            <w:rStyle w:val="Hyperlink"/>
            <w:color w:val="auto"/>
            <w:sz w:val="24"/>
            <w:szCs w:val="24"/>
          </w:rPr>
          <w:t>H2020 project</w:t>
        </w:r>
        <w:r w:rsidR="001C7D2E">
          <w:rPr>
            <w:rStyle w:val="Hyperlink"/>
            <w:color w:val="auto"/>
            <w:sz w:val="24"/>
            <w:szCs w:val="24"/>
          </w:rPr>
          <w:t>s on language technologie</w:t>
        </w:r>
        <w:r w:rsidR="00C11AC0" w:rsidRPr="001C7D2E">
          <w:rPr>
            <w:rStyle w:val="Hyperlink"/>
            <w:color w:val="auto"/>
            <w:sz w:val="24"/>
            <w:szCs w:val="24"/>
          </w:rPr>
          <w:t>s</w:t>
        </w:r>
      </w:hyperlink>
    </w:p>
    <w:p w:rsidR="00B62186" w:rsidRPr="001C7D2E" w:rsidRDefault="00B62186" w:rsidP="007E5BA8">
      <w:pPr>
        <w:pStyle w:val="Heading2"/>
        <w:spacing w:before="720" w:after="120"/>
        <w:rPr>
          <w:rFonts w:asciiTheme="minorHAnsi" w:hAnsiTheme="minorHAnsi"/>
          <w:b/>
          <w:color w:val="auto"/>
          <w:sz w:val="36"/>
        </w:rPr>
      </w:pPr>
      <w:r w:rsidRPr="001C7D2E">
        <w:rPr>
          <w:rFonts w:asciiTheme="minorHAnsi" w:hAnsiTheme="minorHAnsi"/>
          <w:b/>
          <w:color w:val="auto"/>
          <w:sz w:val="36"/>
        </w:rPr>
        <w:t>Te</w:t>
      </w:r>
      <w:r w:rsidR="001C7D2E">
        <w:rPr>
          <w:rFonts w:asciiTheme="minorHAnsi" w:hAnsiTheme="minorHAnsi"/>
          <w:b/>
          <w:color w:val="auto"/>
          <w:sz w:val="36"/>
        </w:rPr>
        <w:t>chnology readiness levels (TRL)</w:t>
      </w:r>
    </w:p>
    <w:p w:rsidR="00B62186" w:rsidRPr="001C7D2E" w:rsidRDefault="00B62186" w:rsidP="007E5BA8">
      <w:pPr>
        <w:pStyle w:val="ListParagraph"/>
        <w:numPr>
          <w:ilvl w:val="0"/>
          <w:numId w:val="4"/>
        </w:numPr>
        <w:spacing w:after="120" w:line="240" w:lineRule="auto"/>
        <w:ind w:left="714" w:hanging="357"/>
        <w:contextualSpacing w:val="0"/>
        <w:rPr>
          <w:sz w:val="24"/>
          <w:szCs w:val="24"/>
        </w:rPr>
      </w:pPr>
      <w:r w:rsidRPr="001C7D2E">
        <w:rPr>
          <w:sz w:val="24"/>
          <w:szCs w:val="24"/>
        </w:rPr>
        <w:t xml:space="preserve">TRL 1 – basic principles observed </w:t>
      </w:r>
    </w:p>
    <w:p w:rsidR="00B62186" w:rsidRPr="001C7D2E" w:rsidRDefault="00B62186" w:rsidP="007E5BA8">
      <w:pPr>
        <w:pStyle w:val="ListParagraph"/>
        <w:numPr>
          <w:ilvl w:val="0"/>
          <w:numId w:val="4"/>
        </w:numPr>
        <w:spacing w:after="120" w:line="240" w:lineRule="auto"/>
        <w:ind w:left="714" w:hanging="357"/>
        <w:contextualSpacing w:val="0"/>
        <w:rPr>
          <w:sz w:val="24"/>
          <w:szCs w:val="24"/>
        </w:rPr>
      </w:pPr>
      <w:r w:rsidRPr="001C7D2E">
        <w:rPr>
          <w:sz w:val="24"/>
          <w:szCs w:val="24"/>
        </w:rPr>
        <w:t xml:space="preserve">TRL 2 – technology concept formulated </w:t>
      </w:r>
    </w:p>
    <w:p w:rsidR="00B62186" w:rsidRPr="001C7D2E" w:rsidRDefault="00B62186" w:rsidP="007E5BA8">
      <w:pPr>
        <w:pStyle w:val="ListParagraph"/>
        <w:numPr>
          <w:ilvl w:val="0"/>
          <w:numId w:val="4"/>
        </w:numPr>
        <w:spacing w:after="120" w:line="240" w:lineRule="auto"/>
        <w:ind w:left="714" w:hanging="357"/>
        <w:contextualSpacing w:val="0"/>
        <w:rPr>
          <w:sz w:val="24"/>
          <w:szCs w:val="24"/>
        </w:rPr>
      </w:pPr>
      <w:r w:rsidRPr="001C7D2E">
        <w:rPr>
          <w:sz w:val="24"/>
          <w:szCs w:val="24"/>
        </w:rPr>
        <w:t xml:space="preserve">TRL 3 – experimental proof of concept </w:t>
      </w:r>
      <w:bookmarkStart w:id="0" w:name="_GoBack"/>
      <w:bookmarkEnd w:id="0"/>
    </w:p>
    <w:p w:rsidR="00B62186" w:rsidRPr="001C7D2E" w:rsidRDefault="00B62186" w:rsidP="007E5BA8">
      <w:pPr>
        <w:pStyle w:val="ListParagraph"/>
        <w:numPr>
          <w:ilvl w:val="0"/>
          <w:numId w:val="4"/>
        </w:numPr>
        <w:spacing w:after="120" w:line="240" w:lineRule="auto"/>
        <w:ind w:left="714" w:hanging="357"/>
        <w:contextualSpacing w:val="0"/>
        <w:rPr>
          <w:sz w:val="24"/>
          <w:szCs w:val="24"/>
        </w:rPr>
      </w:pPr>
      <w:r w:rsidRPr="001C7D2E">
        <w:rPr>
          <w:sz w:val="24"/>
          <w:szCs w:val="24"/>
        </w:rPr>
        <w:t xml:space="preserve">TRL 4 – technology validated in lab </w:t>
      </w:r>
    </w:p>
    <w:p w:rsidR="00B62186" w:rsidRPr="001C7D2E" w:rsidRDefault="007E5BA8" w:rsidP="007E5BA8">
      <w:pPr>
        <w:pStyle w:val="ListParagraph"/>
        <w:numPr>
          <w:ilvl w:val="0"/>
          <w:numId w:val="4"/>
        </w:numPr>
        <w:spacing w:after="120" w:line="240" w:lineRule="auto"/>
        <w:ind w:left="714" w:hanging="357"/>
        <w:contextualSpacing w:val="0"/>
        <w:rPr>
          <w:sz w:val="24"/>
          <w:szCs w:val="24"/>
        </w:rPr>
      </w:pPr>
      <w:r>
        <w:rPr>
          <w:sz w:val="24"/>
          <w:szCs w:val="24"/>
        </w:rPr>
        <w:t xml:space="preserve">TRL </w:t>
      </w:r>
      <w:r w:rsidR="00B62186" w:rsidRPr="001C7D2E">
        <w:rPr>
          <w:sz w:val="24"/>
          <w:szCs w:val="24"/>
        </w:rPr>
        <w:t xml:space="preserve">5 – technology validated in relevant environment (industrially relevant environment in the case of key enabling technologies) </w:t>
      </w:r>
    </w:p>
    <w:p w:rsidR="00B62186" w:rsidRPr="001C7D2E" w:rsidRDefault="00B62186" w:rsidP="007E5BA8">
      <w:pPr>
        <w:pStyle w:val="ListParagraph"/>
        <w:numPr>
          <w:ilvl w:val="0"/>
          <w:numId w:val="4"/>
        </w:numPr>
        <w:spacing w:after="120" w:line="240" w:lineRule="auto"/>
        <w:ind w:left="714" w:hanging="357"/>
        <w:contextualSpacing w:val="0"/>
        <w:rPr>
          <w:sz w:val="24"/>
          <w:szCs w:val="24"/>
        </w:rPr>
      </w:pPr>
      <w:r w:rsidRPr="001C7D2E">
        <w:rPr>
          <w:sz w:val="24"/>
          <w:szCs w:val="24"/>
        </w:rPr>
        <w:t xml:space="preserve">TRL 6 – technology demonstrated in relevant environment (industrially relevant environment in the case of key enabling technologies) </w:t>
      </w:r>
    </w:p>
    <w:p w:rsidR="00B62186" w:rsidRPr="001C7D2E" w:rsidRDefault="00B62186" w:rsidP="007E5BA8">
      <w:pPr>
        <w:pStyle w:val="ListParagraph"/>
        <w:numPr>
          <w:ilvl w:val="0"/>
          <w:numId w:val="4"/>
        </w:numPr>
        <w:spacing w:after="120" w:line="240" w:lineRule="auto"/>
        <w:ind w:left="714" w:hanging="357"/>
        <w:contextualSpacing w:val="0"/>
        <w:rPr>
          <w:sz w:val="24"/>
          <w:szCs w:val="24"/>
        </w:rPr>
      </w:pPr>
      <w:r w:rsidRPr="001C7D2E">
        <w:rPr>
          <w:sz w:val="24"/>
          <w:szCs w:val="24"/>
        </w:rPr>
        <w:t xml:space="preserve">TRL 7 – system prototype demonstration in operational environment </w:t>
      </w:r>
    </w:p>
    <w:p w:rsidR="00B62186" w:rsidRPr="001C7D2E" w:rsidRDefault="00B62186" w:rsidP="007E5BA8">
      <w:pPr>
        <w:pStyle w:val="ListParagraph"/>
        <w:numPr>
          <w:ilvl w:val="0"/>
          <w:numId w:val="4"/>
        </w:numPr>
        <w:spacing w:after="120" w:line="240" w:lineRule="auto"/>
        <w:ind w:left="714" w:hanging="357"/>
        <w:contextualSpacing w:val="0"/>
        <w:rPr>
          <w:sz w:val="24"/>
          <w:szCs w:val="24"/>
        </w:rPr>
      </w:pPr>
      <w:r w:rsidRPr="001C7D2E">
        <w:rPr>
          <w:sz w:val="24"/>
          <w:szCs w:val="24"/>
        </w:rPr>
        <w:t xml:space="preserve">TRL 8 – system complete and qualified </w:t>
      </w:r>
    </w:p>
    <w:p w:rsidR="004D3670" w:rsidRPr="001C7D2E" w:rsidRDefault="00B62186" w:rsidP="007E5BA8">
      <w:pPr>
        <w:pStyle w:val="ListParagraph"/>
        <w:numPr>
          <w:ilvl w:val="0"/>
          <w:numId w:val="4"/>
        </w:numPr>
        <w:spacing w:after="120" w:line="240" w:lineRule="auto"/>
        <w:ind w:left="714" w:hanging="357"/>
        <w:contextualSpacing w:val="0"/>
        <w:rPr>
          <w:sz w:val="24"/>
          <w:szCs w:val="24"/>
        </w:rPr>
      </w:pPr>
      <w:r w:rsidRPr="001C7D2E">
        <w:rPr>
          <w:sz w:val="24"/>
          <w:szCs w:val="24"/>
        </w:rPr>
        <w:t>TRL 9 – actual system proven in operational environment (competitive manufacturing in the case of key enabling technologies; or in space)</w:t>
      </w:r>
    </w:p>
    <w:sectPr w:rsidR="004D3670" w:rsidRPr="001C7D2E" w:rsidSect="001C7D2E">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E71" w:rsidRDefault="00AD4E71" w:rsidP="00690306">
      <w:pPr>
        <w:spacing w:after="0" w:line="240" w:lineRule="auto"/>
      </w:pPr>
      <w:r>
        <w:separator/>
      </w:r>
    </w:p>
  </w:endnote>
  <w:endnote w:type="continuationSeparator" w:id="0">
    <w:p w:rsidR="00AD4E71" w:rsidRDefault="00AD4E71" w:rsidP="0069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06" w:rsidRDefault="00690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182092"/>
      <w:docPartObj>
        <w:docPartGallery w:val="Page Numbers (Bottom of Page)"/>
        <w:docPartUnique/>
      </w:docPartObj>
    </w:sdtPr>
    <w:sdtEndPr>
      <w:rPr>
        <w:noProof/>
      </w:rPr>
    </w:sdtEndPr>
    <w:sdtContent>
      <w:p w:rsidR="001C7D2E" w:rsidRPr="001C7D2E" w:rsidRDefault="001C7D2E" w:rsidP="001C7D2E">
        <w:pPr>
          <w:pStyle w:val="Header"/>
          <w:spacing w:after="120"/>
          <w:rPr>
            <w:rFonts w:ascii="Arial" w:hAnsi="Arial" w:cs="Arial"/>
            <w:sz w:val="16"/>
            <w:szCs w:val="16"/>
          </w:rPr>
        </w:pPr>
        <w:r w:rsidRPr="001C7D2E">
          <w:rPr>
            <w:rFonts w:ascii="Arial" w:hAnsi="Arial" w:cs="Arial"/>
            <w:sz w:val="16"/>
            <w:szCs w:val="16"/>
            <w:lang w:val="fr-FR"/>
          </w:rPr>
          <w:t>Commission européenne, 2920 Luxembourg, LUXEMBOURG - Tel. +352 43011</w:t>
        </w:r>
      </w:p>
      <w:p w:rsidR="001C7D2E" w:rsidRPr="001C7D2E" w:rsidRDefault="001C7D2E" w:rsidP="001C7D2E">
        <w:pPr>
          <w:pStyle w:val="Footer"/>
          <w:rPr>
            <w:rFonts w:ascii="Arial" w:hAnsi="Arial" w:cs="Arial"/>
            <w:sz w:val="16"/>
            <w:szCs w:val="16"/>
            <w:lang w:val="fr-FR"/>
          </w:rPr>
        </w:pPr>
        <w:r w:rsidRPr="001C7D2E">
          <w:rPr>
            <w:rFonts w:ascii="Arial" w:hAnsi="Arial" w:cs="Arial"/>
            <w:sz w:val="16"/>
            <w:szCs w:val="16"/>
            <w:lang w:val="fr-FR"/>
          </w:rPr>
          <w:t>CNECT-G3@ec.europa.eu</w:t>
        </w:r>
      </w:p>
      <w:p w:rsidR="00690306" w:rsidRPr="001C7D2E" w:rsidRDefault="00690306" w:rsidP="001C7D2E">
        <w:pPr>
          <w:pStyle w:val="Footer"/>
          <w:jc w:val="right"/>
          <w:rPr>
            <w:lang w:val="fr-FR"/>
          </w:rPr>
        </w:pPr>
        <w:r w:rsidRPr="001C7D2E">
          <w:rPr>
            <w:rFonts w:ascii="Arial" w:hAnsi="Arial" w:cs="Arial"/>
            <w:sz w:val="16"/>
            <w:szCs w:val="16"/>
          </w:rPr>
          <w:fldChar w:fldCharType="begin"/>
        </w:r>
        <w:r w:rsidRPr="001C7D2E">
          <w:rPr>
            <w:rFonts w:ascii="Arial" w:hAnsi="Arial" w:cs="Arial"/>
            <w:sz w:val="16"/>
            <w:szCs w:val="16"/>
            <w:lang w:val="fr-FR"/>
          </w:rPr>
          <w:instrText xml:space="preserve"> PAGE   \* MERGEFORMAT </w:instrText>
        </w:r>
        <w:r w:rsidRPr="001C7D2E">
          <w:rPr>
            <w:rFonts w:ascii="Arial" w:hAnsi="Arial" w:cs="Arial"/>
            <w:sz w:val="16"/>
            <w:szCs w:val="16"/>
          </w:rPr>
          <w:fldChar w:fldCharType="separate"/>
        </w:r>
        <w:r w:rsidR="007E5BA8">
          <w:rPr>
            <w:rFonts w:ascii="Arial" w:hAnsi="Arial" w:cs="Arial"/>
            <w:noProof/>
            <w:sz w:val="16"/>
            <w:szCs w:val="16"/>
            <w:lang w:val="fr-FR"/>
          </w:rPr>
          <w:t>3</w:t>
        </w:r>
        <w:r w:rsidRPr="001C7D2E">
          <w:rPr>
            <w:rFonts w:ascii="Arial" w:hAnsi="Arial"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06" w:rsidRDefault="00690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E71" w:rsidRDefault="00AD4E71" w:rsidP="00690306">
      <w:pPr>
        <w:spacing w:after="0" w:line="240" w:lineRule="auto"/>
      </w:pPr>
      <w:r>
        <w:separator/>
      </w:r>
    </w:p>
  </w:footnote>
  <w:footnote w:type="continuationSeparator" w:id="0">
    <w:p w:rsidR="00AD4E71" w:rsidRDefault="00AD4E71" w:rsidP="00690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06" w:rsidRDefault="00690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06" w:rsidRPr="001C7D2E" w:rsidRDefault="00690306">
    <w:pPr>
      <w:pStyle w:val="Header"/>
      <w:rPr>
        <w:rFonts w:ascii="Arial" w:hAnsi="Arial"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06" w:rsidRDefault="00690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15B"/>
    <w:multiLevelType w:val="hybridMultilevel"/>
    <w:tmpl w:val="F010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215F4"/>
    <w:multiLevelType w:val="hybridMultilevel"/>
    <w:tmpl w:val="C5E0D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A671F3"/>
    <w:multiLevelType w:val="hybridMultilevel"/>
    <w:tmpl w:val="B132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67536"/>
    <w:multiLevelType w:val="hybridMultilevel"/>
    <w:tmpl w:val="EC5896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513A"/>
    <w:rsid w:val="00031F2B"/>
    <w:rsid w:val="00043D32"/>
    <w:rsid w:val="00054FA6"/>
    <w:rsid w:val="00105978"/>
    <w:rsid w:val="0013377D"/>
    <w:rsid w:val="00133D1A"/>
    <w:rsid w:val="00151D93"/>
    <w:rsid w:val="00165BC2"/>
    <w:rsid w:val="00195D6B"/>
    <w:rsid w:val="00196537"/>
    <w:rsid w:val="001C7D2E"/>
    <w:rsid w:val="001D743F"/>
    <w:rsid w:val="001E5A88"/>
    <w:rsid w:val="001F3579"/>
    <w:rsid w:val="002A7D83"/>
    <w:rsid w:val="002E4451"/>
    <w:rsid w:val="002F2A89"/>
    <w:rsid w:val="003F4C76"/>
    <w:rsid w:val="004A2AD3"/>
    <w:rsid w:val="004B3C7F"/>
    <w:rsid w:val="004D258C"/>
    <w:rsid w:val="004D3670"/>
    <w:rsid w:val="00562EE2"/>
    <w:rsid w:val="005C1421"/>
    <w:rsid w:val="005F6B27"/>
    <w:rsid w:val="00664847"/>
    <w:rsid w:val="00690306"/>
    <w:rsid w:val="00690B2E"/>
    <w:rsid w:val="00697419"/>
    <w:rsid w:val="006C00F6"/>
    <w:rsid w:val="006D0461"/>
    <w:rsid w:val="007117F1"/>
    <w:rsid w:val="007843CD"/>
    <w:rsid w:val="0079522B"/>
    <w:rsid w:val="007E2C12"/>
    <w:rsid w:val="007E5BA8"/>
    <w:rsid w:val="00841160"/>
    <w:rsid w:val="00873D11"/>
    <w:rsid w:val="00891DA3"/>
    <w:rsid w:val="008C1ED8"/>
    <w:rsid w:val="009E3856"/>
    <w:rsid w:val="00A51A23"/>
    <w:rsid w:val="00A5572C"/>
    <w:rsid w:val="00AA513A"/>
    <w:rsid w:val="00AD4CF2"/>
    <w:rsid w:val="00AD4E71"/>
    <w:rsid w:val="00B6148C"/>
    <w:rsid w:val="00B62186"/>
    <w:rsid w:val="00B65362"/>
    <w:rsid w:val="00BB4352"/>
    <w:rsid w:val="00C11AC0"/>
    <w:rsid w:val="00C317F5"/>
    <w:rsid w:val="00C5184D"/>
    <w:rsid w:val="00CE3A10"/>
    <w:rsid w:val="00DF0BC8"/>
    <w:rsid w:val="00E108DE"/>
    <w:rsid w:val="00E56B2E"/>
    <w:rsid w:val="00E91D58"/>
    <w:rsid w:val="00E962F8"/>
    <w:rsid w:val="00ED3FE4"/>
    <w:rsid w:val="00F13D92"/>
    <w:rsid w:val="00F31909"/>
    <w:rsid w:val="00F6464C"/>
    <w:rsid w:val="00FC5CA7"/>
    <w:rsid w:val="00FD09B6"/>
    <w:rsid w:val="00FD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F3DB9"/>
  <w15:chartTrackingRefBased/>
  <w15:docId w15:val="{DF4310AF-054B-4491-932B-FD17C68E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3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13A"/>
    <w:rPr>
      <w:color w:val="0000FF" w:themeColor="hyperlink"/>
      <w:u w:val="single"/>
    </w:rPr>
  </w:style>
  <w:style w:type="paragraph" w:styleId="ListParagraph">
    <w:name w:val="List Paragraph"/>
    <w:basedOn w:val="Normal"/>
    <w:qFormat/>
    <w:rsid w:val="00AA513A"/>
    <w:pPr>
      <w:ind w:left="720"/>
      <w:contextualSpacing/>
    </w:pPr>
  </w:style>
  <w:style w:type="character" w:customStyle="1" w:styleId="Heading1Char">
    <w:name w:val="Heading 1 Char"/>
    <w:basedOn w:val="DefaultParagraphFont"/>
    <w:link w:val="Heading1"/>
    <w:uiPriority w:val="9"/>
    <w:rsid w:val="00F6464C"/>
    <w:rPr>
      <w:rFonts w:asciiTheme="majorHAnsi" w:eastAsiaTheme="majorEastAsia" w:hAnsiTheme="majorHAnsi" w:cstheme="majorBidi"/>
      <w:color w:val="365F91" w:themeColor="accent1" w:themeShade="BF"/>
      <w:sz w:val="32"/>
      <w:szCs w:val="32"/>
    </w:rPr>
  </w:style>
  <w:style w:type="character" w:customStyle="1" w:styleId="filetitle">
    <w:name w:val="file__title"/>
    <w:basedOn w:val="DefaultParagraphFont"/>
    <w:rsid w:val="00562EE2"/>
  </w:style>
  <w:style w:type="character" w:styleId="FollowedHyperlink">
    <w:name w:val="FollowedHyperlink"/>
    <w:basedOn w:val="DefaultParagraphFont"/>
    <w:uiPriority w:val="99"/>
    <w:semiHidden/>
    <w:unhideWhenUsed/>
    <w:rsid w:val="00562EE2"/>
    <w:rPr>
      <w:color w:val="800080" w:themeColor="followedHyperlink"/>
      <w:u w:val="single"/>
    </w:rPr>
  </w:style>
  <w:style w:type="character" w:customStyle="1" w:styleId="Heading2Char">
    <w:name w:val="Heading 2 Char"/>
    <w:basedOn w:val="DefaultParagraphFont"/>
    <w:link w:val="Heading2"/>
    <w:uiPriority w:val="9"/>
    <w:rsid w:val="0069030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90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06"/>
  </w:style>
  <w:style w:type="paragraph" w:styleId="Footer">
    <w:name w:val="footer"/>
    <w:basedOn w:val="Normal"/>
    <w:link w:val="FooterChar"/>
    <w:uiPriority w:val="99"/>
    <w:unhideWhenUsed/>
    <w:rsid w:val="00690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06"/>
  </w:style>
  <w:style w:type="paragraph" w:styleId="Title">
    <w:name w:val="Title"/>
    <w:basedOn w:val="Normal"/>
    <w:link w:val="TitleChar"/>
    <w:qFormat/>
    <w:rsid w:val="00B62186"/>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B62186"/>
    <w:rPr>
      <w:rFonts w:ascii="Arial" w:eastAsia="Times New Roman" w:hAnsi="Arial" w:cs="Times New Roman"/>
      <w:b/>
      <w:kern w:val="28"/>
      <w:sz w:val="32"/>
      <w:szCs w:val="20"/>
    </w:rPr>
  </w:style>
  <w:style w:type="paragraph" w:styleId="Subtitle">
    <w:name w:val="Subtitle"/>
    <w:basedOn w:val="Normal"/>
    <w:link w:val="SubtitleChar"/>
    <w:qFormat/>
    <w:rsid w:val="001C7D2E"/>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1C7D2E"/>
    <w:rPr>
      <w:rFonts w:ascii="Arial" w:eastAsia="Times New Roman" w:hAnsi="Arial" w:cs="Times New Roman"/>
      <w:sz w:val="24"/>
      <w:szCs w:val="20"/>
    </w:rPr>
  </w:style>
  <w:style w:type="paragraph" w:customStyle="1" w:styleId="ZCom">
    <w:name w:val="Z_Com"/>
    <w:basedOn w:val="Normal"/>
    <w:next w:val="ZDGName"/>
    <w:uiPriority w:val="99"/>
    <w:rsid w:val="001C7D2E"/>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customStyle="1" w:styleId="ZDGName">
    <w:name w:val="Z_DGName"/>
    <w:basedOn w:val="Normal"/>
    <w:uiPriority w:val="99"/>
    <w:rsid w:val="001C7D2E"/>
    <w:pPr>
      <w:widowControl w:val="0"/>
      <w:autoSpaceDE w:val="0"/>
      <w:autoSpaceDN w:val="0"/>
      <w:spacing w:after="0" w:line="240" w:lineRule="auto"/>
      <w:ind w:right="85"/>
    </w:pPr>
    <w:rPr>
      <w:rFonts w:ascii="Arial" w:eastAsiaTheme="minorEastAsia"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1823">
      <w:bodyDiv w:val="1"/>
      <w:marLeft w:val="0"/>
      <w:marRight w:val="0"/>
      <w:marTop w:val="0"/>
      <w:marBottom w:val="0"/>
      <w:divBdr>
        <w:top w:val="none" w:sz="0" w:space="0" w:color="auto"/>
        <w:left w:val="none" w:sz="0" w:space="0" w:color="auto"/>
        <w:bottom w:val="none" w:sz="0" w:space="0" w:color="auto"/>
        <w:right w:val="none" w:sz="0" w:space="0" w:color="auto"/>
      </w:divBdr>
    </w:div>
    <w:div w:id="675158041">
      <w:bodyDiv w:val="1"/>
      <w:marLeft w:val="0"/>
      <w:marRight w:val="0"/>
      <w:marTop w:val="0"/>
      <w:marBottom w:val="0"/>
      <w:divBdr>
        <w:top w:val="none" w:sz="0" w:space="0" w:color="auto"/>
        <w:left w:val="none" w:sz="0" w:space="0" w:color="auto"/>
        <w:bottom w:val="none" w:sz="0" w:space="0" w:color="auto"/>
        <w:right w:val="none" w:sz="0" w:space="0" w:color="auto"/>
      </w:divBdr>
    </w:div>
    <w:div w:id="775563286">
      <w:bodyDiv w:val="1"/>
      <w:marLeft w:val="0"/>
      <w:marRight w:val="0"/>
      <w:marTop w:val="0"/>
      <w:marBottom w:val="0"/>
      <w:divBdr>
        <w:top w:val="none" w:sz="0" w:space="0" w:color="auto"/>
        <w:left w:val="none" w:sz="0" w:space="0" w:color="auto"/>
        <w:bottom w:val="none" w:sz="0" w:space="0" w:color="auto"/>
        <w:right w:val="none" w:sz="0" w:space="0" w:color="auto"/>
      </w:divBdr>
    </w:div>
    <w:div w:id="1274707317">
      <w:bodyDiv w:val="1"/>
      <w:marLeft w:val="0"/>
      <w:marRight w:val="0"/>
      <w:marTop w:val="0"/>
      <w:marBottom w:val="0"/>
      <w:divBdr>
        <w:top w:val="none" w:sz="0" w:space="0" w:color="auto"/>
        <w:left w:val="none" w:sz="0" w:space="0" w:color="auto"/>
        <w:bottom w:val="none" w:sz="0" w:space="0" w:color="auto"/>
        <w:right w:val="none" w:sz="0" w:space="0" w:color="auto"/>
      </w:divBdr>
      <w:divsChild>
        <w:div w:id="1468743343">
          <w:marLeft w:val="0"/>
          <w:marRight w:val="0"/>
          <w:marTop w:val="0"/>
          <w:marBottom w:val="0"/>
          <w:divBdr>
            <w:top w:val="none" w:sz="0" w:space="0" w:color="auto"/>
            <w:left w:val="none" w:sz="0" w:space="0" w:color="auto"/>
            <w:bottom w:val="none" w:sz="0" w:space="0" w:color="auto"/>
            <w:right w:val="none" w:sz="0" w:space="0" w:color="auto"/>
          </w:divBdr>
          <w:divsChild>
            <w:div w:id="1349480578">
              <w:marLeft w:val="0"/>
              <w:marRight w:val="0"/>
              <w:marTop w:val="0"/>
              <w:marBottom w:val="0"/>
              <w:divBdr>
                <w:top w:val="none" w:sz="0" w:space="0" w:color="auto"/>
                <w:left w:val="none" w:sz="0" w:space="0" w:color="auto"/>
                <w:bottom w:val="none" w:sz="0" w:space="0" w:color="auto"/>
                <w:right w:val="none" w:sz="0" w:space="0" w:color="auto"/>
              </w:divBdr>
              <w:divsChild>
                <w:div w:id="1965768827">
                  <w:marLeft w:val="0"/>
                  <w:marRight w:val="0"/>
                  <w:marTop w:val="0"/>
                  <w:marBottom w:val="0"/>
                  <w:divBdr>
                    <w:top w:val="none" w:sz="0" w:space="0" w:color="auto"/>
                    <w:left w:val="none" w:sz="0" w:space="0" w:color="auto"/>
                    <w:bottom w:val="none" w:sz="0" w:space="0" w:color="auto"/>
                    <w:right w:val="none" w:sz="0" w:space="0" w:color="auto"/>
                  </w:divBdr>
                  <w:divsChild>
                    <w:div w:id="12706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01492">
      <w:bodyDiv w:val="1"/>
      <w:marLeft w:val="0"/>
      <w:marRight w:val="0"/>
      <w:marTop w:val="0"/>
      <w:marBottom w:val="0"/>
      <w:divBdr>
        <w:top w:val="none" w:sz="0" w:space="0" w:color="auto"/>
        <w:left w:val="none" w:sz="0" w:space="0" w:color="auto"/>
        <w:bottom w:val="none" w:sz="0" w:space="0" w:color="auto"/>
        <w:right w:val="none" w:sz="0" w:space="0" w:color="auto"/>
      </w:divBdr>
    </w:div>
    <w:div w:id="20223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horizon-europe-next-research-and-innovation-framework-programme_en" TargetMode="External"/><Relationship Id="rId13" Type="http://schemas.openxmlformats.org/officeDocument/2006/relationships/hyperlink" Target="https://eur-lex.europa.eu/legal-content/EN/TXT/?uri=CELEX:32016L2102" TargetMode="External"/><Relationship Id="rId18" Type="http://schemas.openxmlformats.org/officeDocument/2006/relationships/hyperlink" Target="https://ec.europa.eu/digital-single-market/en/eu-funded-research-projects-technologies-accessibility"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ec.europa.eu/info/sites/info/files/research_and_innovation/strategy_on_research_and_innovation/presentations/horizon_europe_en_investing_to_shape_our_future.pdf" TargetMode="External"/><Relationship Id="rId17" Type="http://schemas.openxmlformats.org/officeDocument/2006/relationships/hyperlink" Target="https://www.etsi.org/deliver/etsi_en/301500_301599/301549/02.01.02_60/en_301549v020102p.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ur-lex.europa.eu/legal-content/EN/TXT/?uri=CELEX%3A32018D2048" TargetMode="External"/><Relationship Id="rId20" Type="http://schemas.openxmlformats.org/officeDocument/2006/relationships/hyperlink" Target="https://cordis.europa.eu/search/en?q=(%27Language%27)%20AND%20contenttype%3D%27project%27%20AND%20(programme%2Fcode%3D%27H2020%27%20OR%20programme%2Fcode%3D%27H2020-EU.2.1.1.%27)&amp;p=1&amp;num=10&amp;srt=Relevance:decreas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sites/info/files/research_and_innovation/strategy_on_research_and_innovation/documents/ec_rtd_he-consultation-interim-report_092019.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ur-lex.europa.eu/legal-content/EN/TXT/?qid=1568639407970&amp;uri=CELEX:32018D152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c.europa.eu/eusurvey/runner/HorizonEurope_Codesign_2021-2024" TargetMode="External"/><Relationship Id="rId19" Type="http://schemas.openxmlformats.org/officeDocument/2006/relationships/hyperlink" Target="http://www.europarl.europa.eu/doceo/document/TA-8-2018-0332_EN.pdf" TargetMode="External"/><Relationship Id="rId4" Type="http://schemas.openxmlformats.org/officeDocument/2006/relationships/webSettings" Target="webSettings.xml"/><Relationship Id="rId9" Type="http://schemas.openxmlformats.org/officeDocument/2006/relationships/hyperlink" Target="https://ec.europa.eu/research/pdf/horizon-europe/ec_rtd_orientations-towards-the-strategic-planning.pdf" TargetMode="External"/><Relationship Id="rId14" Type="http://schemas.openxmlformats.org/officeDocument/2006/relationships/hyperlink" Target="https://eur-lex.europa.eu/legal-content/EN/TXT/?qid=1568639407970&amp;uri=CELEX:32018D152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894</Words>
  <Characters>5525</Characters>
  <Application>Microsoft Office Word</Application>
  <DocSecurity>0</DocSecurity>
  <Lines>117</Lines>
  <Paragraphs>65</Paragraphs>
  <ScaleCrop>false</ScaleCrop>
  <HeadingPairs>
    <vt:vector size="2" baseType="variant">
      <vt:variant>
        <vt:lpstr>Title</vt:lpstr>
      </vt:variant>
      <vt:variant>
        <vt:i4>1</vt:i4>
      </vt:variant>
    </vt:vector>
  </HeadingPairs>
  <TitlesOfParts>
    <vt:vector size="1" baseType="lpstr">
      <vt:lpstr>Background Information Stakeholder Consultation on Language Technologies &amp; Web Accessibility</vt:lpstr>
    </vt:vector>
  </TitlesOfParts>
  <Company>European Commission</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Stakeholder Consultation on Language Technologies &amp; Web Accessibility</dc:title>
  <dc:subject/>
  <dc:creator>ARNAU SOLSONA Oscar (CNECT)</dc:creator>
  <cp:keywords/>
  <dc:description/>
  <cp:lastModifiedBy>ARNAU SOLSONA Oscar (CNECT)</cp:lastModifiedBy>
  <cp:revision>12</cp:revision>
  <dcterms:created xsi:type="dcterms:W3CDTF">2019-09-25T09:40:00Z</dcterms:created>
  <dcterms:modified xsi:type="dcterms:W3CDTF">2019-09-27T08:37:00Z</dcterms:modified>
</cp:coreProperties>
</file>