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Enterprise Integration Framework: Large Graph Model (LGM) Architecture Specification</w:t>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 Architectural Overview</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LGM framework is a next-generation Enterprise Application Integration (EAI) and Business Intelligence (BI) stack. It leverages Semantic Web graphs, Formal Concept Analysis (FCA), and an Algebraic Prime ID Embedding mechanism (CPPE) to unify heterogeneous source data into an augmented, Interoperable Semantic Model.</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system operates entirely via </w:t>
      </w:r>
      <w:r w:rsidDel="00000000" w:rsidR="00000000" w:rsidRPr="00000000">
        <w:rPr>
          <w:rFonts w:ascii="Google Sans" w:cs="Google Sans" w:eastAsia="Google Sans" w:hAnsi="Google Sans"/>
          <w:b w:val="1"/>
          <w:bCs w:val="1"/>
          <w:color w:val="1f1f1f"/>
          <w:rtl w:val="0"/>
        </w:rPr>
        <w:t xml:space="preserve">Reactive Functional Streams</w:t>
      </w:r>
      <w:r w:rsidDel="00000000" w:rsidR="00000000" w:rsidRPr="00000000">
        <w:rPr>
          <w:rFonts w:ascii="Google Sans" w:cs="Google Sans" w:eastAsia="Google Sans" w:hAnsi="Google Sans"/>
          <w:color w:val="1f1f1f"/>
          <w:rtl w:val="0"/>
        </w:rPr>
        <w:t xml:space="preserve">. External applications are wrapped as Datasource Resources that emit raw subject-predicate-object (SPO) triples. These triples are rotated and mathematically embedded into algebraic tensors. Through a pipeline of </w:t>
      </w:r>
      <w:r w:rsidDel="00000000" w:rsidR="00000000" w:rsidRPr="00000000">
        <w:rPr>
          <w:rFonts w:ascii="Google Sans" w:cs="Google Sans" w:eastAsia="Google Sans" w:hAnsi="Google Sans"/>
          <w:b w:val="1"/>
          <w:bCs w:val="1"/>
          <w:color w:val="1f1f1f"/>
          <w:rtl w:val="0"/>
        </w:rPr>
        <w:t xml:space="preserve">Aggregation, Alignment, and Activation</w:t>
      </w:r>
      <w:r w:rsidDel="00000000" w:rsidR="00000000" w:rsidRPr="00000000">
        <w:rPr>
          <w:rFonts w:ascii="Google Sans" w:cs="Google Sans" w:eastAsia="Google Sans" w:hAnsi="Google Sans"/>
          <w:color w:val="1f1f1f"/>
          <w:rtl w:val="0"/>
        </w:rPr>
        <w:t xml:space="preserve">, the system maps these static data topologies into predictive, evolving, and actionable integrations.</w:t>
      </w:r>
    </w:p>
    <w:p w:rsidR="00000000" w:rsidDel="00000000" w:rsidP="00000000" w:rsidRDefault="00000000" w:rsidRPr="00000000" w14:paraId="0000000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 Core Mathematical Model: Prime ID Embeddings (CPPE)</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At the heart of the LGM is the conversion of graphical nodes into prime numbers, transforming graph traversals and pattern matching into fundamental arithmetic (multiplication for composition, modulo/division for traversal/querying).</w:t>
      </w:r>
    </w:p>
    <w:p w:rsidR="00000000" w:rsidDel="00000000" w:rsidP="00000000" w:rsidRDefault="00000000" w:rsidRPr="00000000" w14:paraId="0000000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2.1 The ContextPoint Entity</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ContextPoint is the fundamental unit of the Triadic FCA Context (Context, Object, Attribute). It is a singleton per URI.</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public class ContextPoint {</w:t>
        <w:br w:type="textWrapping"/>
        <w:t xml:space="preserve">    private String uri;</w:t>
        <w:br w:type="textWrapping"/>
        <w:t xml:space="preserve">    private long primeID; // Unique prime number assigned sequentially</w:t>
        <w:br w:type="textWrapping"/>
        <w:t xml:space="preserve">    </w:t>
        <w:br w:type="textWrapping"/>
        <w:t xml:space="preserve">    // The Triad</w:t>
        <w:br w:type="textWrapping"/>
        <w:t xml:space="preserve">    private ContextPoint context;</w:t>
        <w:br w:type="textWrapping"/>
        <w:t xml:space="preserve">    private ContextPoint object;</w:t>
        <w:br w:type="textWrapping"/>
        <w:t xml:space="preserve">    private ContextPoint attribute;</w:t>
        <w:br w:type="textWrapping"/>
        <w:t xml:space="preserve">    </w:t>
        <w:br w:type="textWrapping"/>
        <w:t xml:space="preserve">    // Occurrences (Navigability)</w:t>
        <w:br w:type="textWrapping"/>
        <w:t xml:space="preserve">    private Set&lt;ContextPoint&gt; contextOccurrences;</w:t>
        <w:br w:type="textWrapping"/>
        <w:t xml:space="preserve">    private Set&lt;ContextPoint&gt; objectOccurrences;</w:t>
        <w:br w:type="textWrapping"/>
        <w:t xml:space="preserve">    private Set&lt;ContextPoint&gt; attributeOccurrences;</w:t>
        <w:br w:type="textWrapping"/>
        <w:br w:type="textWrapping"/>
        <w:t xml:space="preserve">    // Standard Getters</w:t>
        <w:br w:type="textWrapping"/>
        <w:t xml:space="preserve">    public ContextPoint getContext() { return this.context; }</w:t>
        <w:br w:type="textWrapping"/>
        <w:t xml:space="preserve">    public ContextPoint getObject() { return this.object; }</w:t>
        <w:br w:type="textWrapping"/>
        <w:t xml:space="preserve">    public ContextPoint getAttribute() { return this.attribute; }</w:t>
        <w:br w:type="textWrapping"/>
        <w:t xml:space="preserve">    public Set&lt;ContextPoint&gt; getContexts() { return this.contextOccurrences; }</w:t>
        <w:br w:type="textWrapping"/>
        <w:t xml:space="preserve">    public Set&lt;ContextPoint&gt; getObjects() { return this.objectOccurrences; }</w:t>
        <w:br w:type="textWrapping"/>
        <w:t xml:space="preserve">    public Set&lt;ContextPoint&gt; getAttributes() { return this.attributeOccurrences; }</w:t>
        <w:br w:type="textWrapping"/>
        <w:br w:type="textWrapping"/>
        <w:t xml:space="preserve">    /**</w:t>
        <w:br w:type="textWrapping"/>
        <w:t xml:space="preserve">     * Algebraic Embedding Computation</w:t>
        <w:br w:type="textWrapping"/>
        <w:t xml:space="preserve">     * The embedding of an occurrence is the product of its own Prime ID </w:t>
        <w:br w:type="textWrapping"/>
        <w:t xml:space="preserve">     * by the Prime ID Embeddings of the other two parts of the triadic occurrence.</w:t>
        <w:br w:type="textWrapping"/>
        <w:t xml:space="preserve">     */</w:t>
        <w:br w:type="textWrapping"/>
        <w:t xml:space="preserve">    public BigInteger getPrimeIDEmbedding() {</w:t>
        <w:br w:type="textWrapping"/>
        <w:t xml:space="preserve">        BigInteger self = BigInteger.valueOf(this.primeID);</w:t>
        <w:br w:type="textWrapping"/>
        <w:t xml:space="preserve">        BigInteger ctxEmb = this.context != null ? this.context.getPrimeIDEmbedding() : BigInteger.ONE;</w:t>
        <w:br w:type="textWrapping"/>
        <w:t xml:space="preserve">        BigInteger attrEmb = this.attribute != null ? this.attribute.getPrimeIDEmbedding() : BigInteger.ONE;</w:t>
        <w:br w:type="textWrapping"/>
        <w:t xml:space="preserve">        </w:t>
        <w:br w:type="textWrapping"/>
        <w:t xml:space="preserve">        // For an Object in a given Context with given Attributes:</w:t>
        <w:br w:type="textWrapping"/>
        <w:t xml:space="preserve">        return self.multiply(ctxEmb).multiply(attrEmb);</w:t>
        <w:br w:type="textWrapping"/>
        <w:t xml:space="preserve">    }</w:t>
        <w:br w:type="textWrapping"/>
        <w:t xml:space="preserve">}</w:t>
        <w:br w:type="textWrapping"/>
      </w:r>
    </w:p>
    <w:p w:rsidR="00000000" w:rsidDel="00000000" w:rsidP="00000000" w:rsidRDefault="00000000" w:rsidRPr="00000000" w14:paraId="0000000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2.2 SPO Graph Rotation to FCA Contexts</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Raw input triples (S, P, O) from Datasource Resources do not inherently possess an FCA structure. The LGM mathematically "rotates" them to form three distinct contexts.</w:t>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(S, P, O) Context</w:t>
      </w:r>
      <w:r w:rsidDel="00000000" w:rsidR="00000000" w:rsidRPr="00000000">
        <w:rPr>
          <w:rFonts w:ascii="Google Sans" w:cs="Google Sans" w:eastAsia="Google Sans" w:hAnsi="Google Sans"/>
          <w:color w:val="1f1f1f"/>
          <w:rtl w:val="0"/>
        </w:rPr>
        <w:t xml:space="preserve">: Subject is the Context, Predicate is the Object, Object is the Attribute. (Useful for analyzing Subject properties).</w:t>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(P, S, O) Context</w:t>
      </w:r>
      <w:r w:rsidDel="00000000" w:rsidR="00000000" w:rsidRPr="00000000">
        <w:rPr>
          <w:rFonts w:ascii="Google Sans" w:cs="Google Sans" w:eastAsia="Google Sans" w:hAnsi="Google Sans"/>
          <w:color w:val="1f1f1f"/>
          <w:rtl w:val="0"/>
        </w:rPr>
        <w:t xml:space="preserve">: Predicate is the Context, Subject is the Object, Object is the Attribute. (Useful for Predicate logic/schema inference).</w:t>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(O, P, S) Context</w:t>
      </w:r>
      <w:r w:rsidDel="00000000" w:rsidR="00000000" w:rsidRPr="00000000">
        <w:rPr>
          <w:rFonts w:ascii="Google Sans" w:cs="Google Sans" w:eastAsia="Google Sans" w:hAnsi="Google Sans"/>
          <w:color w:val="1f1f1f"/>
          <w:rtl w:val="0"/>
        </w:rPr>
        <w:t xml:space="preserve">: Object is the Context, Predicate is the Object, Subject is the Attribute. (Useful for reverse-lookup and dependency tracking).</w:t>
      </w:r>
    </w:p>
    <w:p w:rsidR="00000000" w:rsidDel="00000000" w:rsidP="00000000" w:rsidRDefault="00000000" w:rsidRPr="00000000" w14:paraId="0000000F">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 Reactive Resource &amp; Messaging Topology</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runtime execution uses an </w:t>
      </w:r>
      <w:r w:rsidDel="00000000" w:rsidR="00000000" w:rsidRPr="00000000">
        <w:rPr>
          <w:rFonts w:ascii="Google Sans" w:cs="Google Sans" w:eastAsia="Google Sans" w:hAnsi="Google Sans"/>
          <w:b w:val="1"/>
          <w:bCs w:val="1"/>
          <w:color w:val="1f1f1f"/>
          <w:rtl w:val="0"/>
        </w:rPr>
        <w:t xml:space="preserve">IO Monad</w:t>
      </w:r>
      <w:r w:rsidDel="00000000" w:rsidR="00000000" w:rsidRPr="00000000">
        <w:rPr>
          <w:rFonts w:ascii="Google Sans" w:cs="Google Sans" w:eastAsia="Google Sans" w:hAnsi="Google Sans"/>
          <w:color w:val="1f1f1f"/>
          <w:rtl w:val="0"/>
        </w:rPr>
        <w:t xml:space="preserve"> approach mapped to a Reactive Streams topology (e.g., Project Reactor, RxJava, or Akka Streams).</w:t>
      </w:r>
    </w:p>
    <w:p w:rsidR="00000000" w:rsidDel="00000000" w:rsidP="00000000" w:rsidRDefault="00000000" w:rsidRPr="00000000" w14:paraId="0000001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3.1 The Occurrence Monad</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To maintain functional purity during stream processing, context operations are wrapped in the Occurrence Monad. This monad acts as a wrapper/filter/traversal stream construct that safely propagates prime ID arithmetic states without side effects, allowing reactive composition and activation chaining.</w:t>
      </w:r>
    </w:p>
    <w:p w:rsidR="00000000" w:rsidDel="00000000" w:rsidP="00000000" w:rsidRDefault="00000000" w:rsidRPr="00000000" w14:paraId="0000001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3.2 Messaging Endpoint &amp; Semantic URNs</w:t>
      </w:r>
    </w:p>
    <w:p w:rsidR="00000000" w:rsidDel="00000000" w:rsidP="00000000" w:rsidRDefault="00000000" w:rsidRPr="00000000" w14:paraId="00000014">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Semantic Discoverable URNs</w:t>
      </w:r>
      <w:r w:rsidDel="00000000" w:rsidR="00000000" w:rsidRPr="00000000">
        <w:rPr>
          <w:rFonts w:ascii="Google Sans" w:cs="Google Sans" w:eastAsia="Google Sans" w:hAnsi="Google Sans"/>
          <w:color w:val="1f1f1f"/>
          <w:rtl w:val="0"/>
        </w:rPr>
        <w:t xml:space="preserve">: Every resource and message payload embeds context and content type within its URN (e.g., urn:lgm:context:person:worksAt:event).</w:t>
      </w:r>
    </w:p>
    <w:p w:rsidR="00000000" w:rsidDel="00000000" w:rsidP="00000000" w:rsidRDefault="00000000" w:rsidRPr="00000000" w14:paraId="00000015">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Topics &amp; Pub/Sub</w:t>
      </w:r>
      <w:r w:rsidDel="00000000" w:rsidR="00000000" w:rsidRPr="00000000">
        <w:rPr>
          <w:rFonts w:ascii="Google Sans" w:cs="Google Sans" w:eastAsia="Google Sans" w:hAnsi="Google Sans"/>
          <w:color w:val="1f1f1f"/>
          <w:rtl w:val="0"/>
        </w:rPr>
        <w:t xml:space="preserve">: Resources publish to and subscribe from a centralized Messages Endpoint.</w:t>
      </w:r>
    </w:p>
    <w:p w:rsidR="00000000" w:rsidDel="00000000" w:rsidP="00000000" w:rsidRDefault="00000000" w:rsidRPr="00000000" w14:paraId="00000016">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Pattern Matching Dispatch</w:t>
      </w:r>
      <w:r w:rsidDel="00000000" w:rsidR="00000000" w:rsidRPr="00000000">
        <w:rPr>
          <w:rFonts w:ascii="Google Sans" w:cs="Google Sans" w:eastAsia="Google Sans" w:hAnsi="Google Sans"/>
          <w:color w:val="1f1f1f"/>
          <w:rtl w:val="0"/>
        </w:rPr>
        <w:t xml:space="preserve">: The endpoint utilizes pattern matching on URNs to dispatch event payloads to registered handlers (Transform Content Types).</w:t>
      </w:r>
    </w:p>
    <w:p w:rsidR="00000000" w:rsidDel="00000000" w:rsidP="00000000" w:rsidRDefault="00000000" w:rsidRPr="00000000" w14:paraId="00000017">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3.3 Custom Resources (IO)</w:t>
      </w:r>
    </w:p>
    <w:p w:rsidR="00000000" w:rsidDel="00000000" w:rsidP="00000000" w:rsidRDefault="00000000" w:rsidRPr="00000000" w14:paraId="00000018">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Datasources Resource Instances</w:t>
      </w:r>
      <w:r w:rsidDel="00000000" w:rsidR="00000000" w:rsidRPr="00000000">
        <w:rPr>
          <w:rFonts w:ascii="Google Sans" w:cs="Google Sans" w:eastAsia="Google Sans" w:hAnsi="Google Sans"/>
          <w:color w:val="1f1f1f"/>
          <w:rtl w:val="0"/>
        </w:rPr>
        <w:t xml:space="preserve">: Declaratively configured to parse tabular, XML, JSON, or Graph sources. They emit URN Statements and consume update statements for provenance and synchronization.</w:t>
      </w:r>
    </w:p>
    <w:p w:rsidR="00000000" w:rsidDel="00000000" w:rsidP="00000000" w:rsidRDefault="00000000" w:rsidRPr="00000000" w14:paraId="00000019">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Producer Resource Instance</w:t>
      </w:r>
      <w:r w:rsidDel="00000000" w:rsidR="00000000" w:rsidRPr="00000000">
        <w:rPr>
          <w:rFonts w:ascii="Google Sans" w:cs="Google Sans" w:eastAsia="Google Sans" w:hAnsi="Google Sans"/>
          <w:color w:val="1f1f1f"/>
          <w:rtl w:val="0"/>
        </w:rPr>
        <w:t xml:space="preserve">: Consumes interaction forms/state and produces API/UI representations. Capable of wrapping LLMs/MCPs (Model Context Protocols) to handle Datasource syncs and generate augmented representation states.</w:t>
      </w:r>
    </w:p>
    <w:p w:rsidR="00000000" w:rsidDel="00000000" w:rsidP="00000000" w:rsidRDefault="00000000" w:rsidRPr="00000000" w14:paraId="0000001A">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 The LGM Stream Pipeline (3 A's)</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main event loop processes the streams via a continuous functional pipeline: </w:t>
      </w:r>
      <w:r w:rsidDel="00000000" w:rsidR="00000000" w:rsidRPr="00000000">
        <w:rPr>
          <w:rFonts w:ascii="Google Sans" w:cs="Google Sans" w:eastAsia="Google Sans" w:hAnsi="Google Sans"/>
          <w:b w:val="1"/>
          <w:bCs w:val="1"/>
          <w:color w:val="1f1f1f"/>
          <w:rtl w:val="0"/>
        </w:rPr>
        <w:t xml:space="preserve">Datasource Input -&gt; Aggregation -&gt; Alignment -&gt; Activation -&gt; Producer Output / Messages Dispatch</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1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Step 1: Aggregation (Type Inference &amp; Classification)</w:t>
      </w:r>
    </w:p>
    <w:p w:rsidR="00000000" w:rsidDel="00000000" w:rsidP="00000000" w:rsidRDefault="00000000" w:rsidRPr="00000000" w14:paraId="0000001D">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Goal</w:t>
      </w:r>
      <w:r w:rsidDel="00000000" w:rsidR="00000000" w:rsidRPr="00000000">
        <w:rPr>
          <w:rFonts w:ascii="Google Sans" w:cs="Google Sans" w:eastAsia="Google Sans" w:hAnsi="Google Sans"/>
          <w:color w:val="1f1f1f"/>
          <w:rtl w:val="0"/>
        </w:rPr>
        <w:t xml:space="preserve">: Discover schemas and infer hierarchies.</w:t>
      </w:r>
    </w:p>
    <w:p w:rsidR="00000000" w:rsidDel="00000000" w:rsidP="00000000" w:rsidRDefault="00000000" w:rsidRPr="00000000" w14:paraId="0000001E">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Mechanism</w:t>
      </w:r>
      <w:r w:rsidDel="00000000" w:rsidR="00000000" w:rsidRPr="00000000">
        <w:rPr>
          <w:rFonts w:ascii="Google Sans" w:cs="Google Sans" w:eastAsia="Google Sans" w:hAnsi="Google Sans"/>
          <w:color w:val="1f1f1f"/>
          <w:rtl w:val="0"/>
        </w:rPr>
        <w:t xml:space="preserve">: Leverages the rotated contexts.</w:t>
      </w:r>
    </w:p>
    <w:p w:rsidR="00000000" w:rsidDel="00000000" w:rsidP="00000000" w:rsidRDefault="00000000" w:rsidRPr="00000000" w14:paraId="0000001F">
      <w:pPr>
        <w:numPr>
          <w:ilvl w:val="1"/>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w:cs="Google Sans" w:eastAsia="Google Sans" w:hAnsi="Google Sans"/>
          <w:color w:val="1f1f1f"/>
          <w:rtl w:val="0"/>
        </w:rPr>
        <w:t xml:space="preserve">Same attributes = Same type.</w:t>
      </w:r>
    </w:p>
    <w:p w:rsidR="00000000" w:rsidDel="00000000" w:rsidP="00000000" w:rsidRDefault="00000000" w:rsidRPr="00000000" w14:paraId="00000020">
      <w:pPr>
        <w:numPr>
          <w:ilvl w:val="1"/>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w:cs="Google Sans" w:eastAsia="Google Sans" w:hAnsi="Google Sans"/>
          <w:color w:val="1f1f1f"/>
          <w:rtl w:val="0"/>
        </w:rPr>
        <w:t xml:space="preserve">Attribute subset/superset = Sub-type/Super-type hierarchy.</w:t>
      </w:r>
    </w:p>
    <w:p w:rsidR="00000000" w:rsidDel="00000000" w:rsidP="00000000" w:rsidRDefault="00000000" w:rsidRPr="00000000" w14:paraId="00000021">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Stream Action</w:t>
      </w:r>
      <w:r w:rsidDel="00000000" w:rsidR="00000000" w:rsidRPr="00000000">
        <w:rPr>
          <w:rFonts w:ascii="Google Sans" w:cs="Google Sans" w:eastAsia="Google Sans" w:hAnsi="Google Sans"/>
          <w:color w:val="1f1f1f"/>
          <w:rtl w:val="0"/>
        </w:rPr>
        <w:t xml:space="preserve">: Subscribes to new SPO rotations, calculates prime factor sets, and classifies the context type using Apache Spark classification models (feeding Prime ID tensors).</w:t>
      </w:r>
    </w:p>
    <w:p w:rsidR="00000000" w:rsidDel="00000000" w:rsidP="00000000" w:rsidRDefault="00000000" w:rsidRPr="00000000" w14:paraId="00000022">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Example</w:t>
      </w:r>
      <w:r w:rsidDel="00000000" w:rsidR="00000000" w:rsidRPr="00000000">
        <w:rPr>
          <w:rFonts w:ascii="Google Sans" w:cs="Google Sans" w:eastAsia="Google Sans" w:hAnsi="Google Sans"/>
          <w:color w:val="1f1f1f"/>
          <w:rtl w:val="0"/>
        </w:rPr>
        <w:t xml:space="preserve">: (aPerson(worksAt, anEmployeer)), (worksAt(aPerson, anEmployeer)) are aggregated to infer the structural ontology of a "Work" relationship.</w:t>
      </w:r>
    </w:p>
    <w:p w:rsidR="00000000" w:rsidDel="00000000" w:rsidP="00000000" w:rsidRDefault="00000000" w:rsidRPr="00000000" w14:paraId="00000023">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Step 2: Alignment (Link Prediction &amp; Clustering)</w:t>
      </w:r>
    </w:p>
    <w:p w:rsidR="00000000" w:rsidDel="00000000" w:rsidP="00000000" w:rsidRDefault="00000000" w:rsidRPr="00000000" w14:paraId="00000024">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Goal</w:t>
      </w:r>
      <w:r w:rsidDel="00000000" w:rsidR="00000000" w:rsidRPr="00000000">
        <w:rPr>
          <w:rFonts w:ascii="Google Sans" w:cs="Google Sans" w:eastAsia="Google Sans" w:hAnsi="Google Sans"/>
          <w:color w:val="1f1f1f"/>
          <w:rtl w:val="0"/>
        </w:rPr>
        <w:t xml:space="preserve">: Predict missing attributes and align hierarchies across different contextual axes (e.g., Time, Location, Order).</w:t>
      </w:r>
    </w:p>
    <w:p w:rsidR="00000000" w:rsidDel="00000000" w:rsidP="00000000" w:rsidRDefault="00000000" w:rsidRPr="00000000" w14:paraId="00000025">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Mechanism</w:t>
      </w:r>
      <w:r w:rsidDel="00000000" w:rsidR="00000000" w:rsidRPr="00000000">
        <w:rPr>
          <w:rFonts w:ascii="Google Sans" w:cs="Google Sans" w:eastAsia="Google Sans" w:hAnsi="Google Sans"/>
          <w:color w:val="1f1f1f"/>
          <w:rtl w:val="0"/>
        </w:rPr>
        <w:t xml:space="preserve">: Given a type's aggregated hierarchy, the engine uses the context as a shifting axis to predict object attributes.</w:t>
      </w:r>
    </w:p>
    <w:p w:rsidR="00000000" w:rsidDel="00000000" w:rsidP="00000000" w:rsidRDefault="00000000" w:rsidRPr="00000000" w14:paraId="00000026">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Stream Action</w:t>
      </w:r>
      <w:r w:rsidDel="00000000" w:rsidR="00000000" w:rsidRPr="00000000">
        <w:rPr>
          <w:rFonts w:ascii="Google Sans" w:cs="Google Sans" w:eastAsia="Google Sans" w:hAnsi="Google Sans"/>
          <w:color w:val="1f1f1f"/>
          <w:rtl w:val="0"/>
        </w:rPr>
        <w:t xml:space="preserve">: Uses Clustering ML tensors on the Prime Embeddings to find aligned paths in the graph.</w:t>
      </w:r>
    </w:p>
    <w:p w:rsidR="00000000" w:rsidDel="00000000" w:rsidP="00000000" w:rsidRDefault="00000000" w:rsidRPr="00000000" w14:paraId="00000027">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Example</w:t>
      </w:r>
      <w:r w:rsidDel="00000000" w:rsidR="00000000" w:rsidRPr="00000000">
        <w:rPr>
          <w:rFonts w:ascii="Google Sans" w:cs="Google Sans" w:eastAsia="Google Sans" w:hAnsi="Google Sans"/>
          <w:color w:val="1f1f1f"/>
          <w:rtl w:val="0"/>
        </w:rPr>
        <w:t xml:space="preserve">: For a temporal axis shift:</w:t>
      </w:r>
    </w:p>
    <w:p w:rsidR="00000000" w:rsidDel="00000000" w:rsidP="00000000" w:rsidRDefault="00000000" w:rsidRPr="00000000" w14:paraId="00000028">
      <w:pPr>
        <w:numPr>
          <w:ilvl w:val="1"/>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w:cs="Google Sans" w:eastAsia="Google Sans" w:hAnsi="Google Sans"/>
          <w:color w:val="1f1f1f"/>
          <w:rtl w:val="0"/>
        </w:rPr>
        <w:t xml:space="preserve">Context Yesterday: (Price, Low)</w:t>
      </w:r>
    </w:p>
    <w:p w:rsidR="00000000" w:rsidDel="00000000" w:rsidP="00000000" w:rsidRDefault="00000000" w:rsidRPr="00000000" w14:paraId="00000029">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w:cs="Google Sans" w:eastAsia="Google Sans" w:hAnsi="Google Sans"/>
          <w:color w:val="1f1f1f"/>
          <w:rtl w:val="0"/>
        </w:rPr>
        <w:t xml:space="preserve">Context Today: (Price, Mid)</w:t>
      </w:r>
    </w:p>
    <w:p w:rsidR="00000000" w:rsidDel="00000000" w:rsidP="00000000" w:rsidRDefault="00000000" w:rsidRPr="00000000" w14:paraId="0000002A">
      <w:pPr>
        <w:numPr>
          <w:ilvl w:val="1"/>
          <w:numId w:val="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w:cs="Google Sans" w:eastAsia="Google Sans" w:hAnsi="Google Sans"/>
          <w:b w:val="1"/>
          <w:bCs w:val="1"/>
          <w:color w:val="1f1f1f"/>
          <w:rtl w:val="0"/>
        </w:rPr>
        <w:t xml:space="preserve">Prediction</w:t>
      </w:r>
      <w:r w:rsidDel="00000000" w:rsidR="00000000" w:rsidRPr="00000000">
        <w:rPr>
          <w:rFonts w:ascii="Google Sans" w:cs="Google Sans" w:eastAsia="Google Sans" w:hAnsi="Google Sans"/>
          <w:color w:val="1f1f1f"/>
          <w:rtl w:val="0"/>
        </w:rPr>
        <w:t xml:space="preserve"> for Context Tomorrow: (Price, High)</w:t>
      </w:r>
    </w:p>
    <w:p w:rsidR="00000000" w:rsidDel="00000000" w:rsidP="00000000" w:rsidRDefault="00000000" w:rsidRPr="00000000" w14:paraId="0000002B">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Step 3: Activation (State Transitions &amp; Regression)</w:t>
      </w:r>
    </w:p>
    <w:p w:rsidR="00000000" w:rsidDel="00000000" w:rsidP="00000000" w:rsidRDefault="00000000" w:rsidRPr="00000000" w14:paraId="0000002C">
      <w:pPr>
        <w:numPr>
          <w:ilvl w:val="0"/>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Goal</w:t>
      </w:r>
      <w:r w:rsidDel="00000000" w:rsidR="00000000" w:rsidRPr="00000000">
        <w:rPr>
          <w:rFonts w:ascii="Google Sans" w:cs="Google Sans" w:eastAsia="Google Sans" w:hAnsi="Google Sans"/>
          <w:color w:val="1f1f1f"/>
          <w:rtl w:val="0"/>
        </w:rPr>
        <w:t xml:space="preserve">: Trigger business logic, predict state changes, and mutate downstream applications.</w:t>
      </w:r>
    </w:p>
    <w:p w:rsidR="00000000" w:rsidDel="00000000" w:rsidP="00000000" w:rsidRDefault="00000000" w:rsidRPr="00000000" w14:paraId="0000002D">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Mechanism</w:t>
      </w:r>
      <w:r w:rsidDel="00000000" w:rsidR="00000000" w:rsidRPr="00000000">
        <w:rPr>
          <w:rFonts w:ascii="Google Sans" w:cs="Google Sans" w:eastAsia="Google Sans" w:hAnsi="Google Sans"/>
          <w:color w:val="1f1f1f"/>
          <w:rtl w:val="0"/>
        </w:rPr>
        <w:t xml:space="preserve">: Transforms available actors in specific roles within an interaction context, predicting and materializing state transition changes.</w:t>
      </w:r>
    </w:p>
    <w:p w:rsidR="00000000" w:rsidDel="00000000" w:rsidP="00000000" w:rsidRDefault="00000000" w:rsidRPr="00000000" w14:paraId="0000002E">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Stream Action</w:t>
      </w:r>
      <w:r w:rsidDel="00000000" w:rsidR="00000000" w:rsidRPr="00000000">
        <w:rPr>
          <w:rFonts w:ascii="Google Sans" w:cs="Google Sans" w:eastAsia="Google Sans" w:hAnsi="Google Sans"/>
          <w:color w:val="1f1f1f"/>
          <w:rtl w:val="0"/>
        </w:rPr>
        <w:t xml:space="preserve">: Regression ML models monitor the Alignment stream. When an activation threshold is met, it publishes mutation commands (Transforms) back to the Messages Endpoint.</w:t>
      </w:r>
    </w:p>
    <w:p w:rsidR="00000000" w:rsidDel="00000000" w:rsidP="00000000" w:rsidRDefault="00000000" w:rsidRPr="00000000" w14:paraId="0000002F">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Example</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30">
      <w:pPr>
        <w:numPr>
          <w:ilvl w:val="1"/>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w:cs="Google Sans" w:eastAsia="Google Sans" w:hAnsi="Google Sans"/>
          <w:color w:val="1f1f1f"/>
          <w:rtl w:val="0"/>
        </w:rPr>
        <w:t xml:space="preserve">Transition State: (CurrentStateContext(PreviousStateContext x NextStateContext))</w:t>
      </w:r>
    </w:p>
    <w:p w:rsidR="00000000" w:rsidDel="00000000" w:rsidP="00000000" w:rsidRDefault="00000000" w:rsidRPr="00000000" w14:paraId="00000031">
      <w:pPr>
        <w:numPr>
          <w:ilvl w:val="1"/>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w:cs="Google Sans" w:eastAsia="Google Sans" w:hAnsi="Google Sans"/>
          <w:color w:val="1f1f1f"/>
          <w:rtl w:val="0"/>
        </w:rPr>
        <w:t xml:space="preserve">Activation: A developer transitioning from (Semisenior(Junior x Senior)) triggers an HR system update downstream via the Datasources Resource.</w:t>
      </w:r>
    </w:p>
    <w:p w:rsidR="00000000" w:rsidDel="00000000" w:rsidP="00000000" w:rsidRDefault="00000000" w:rsidRPr="00000000" w14:paraId="00000032">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 ML &amp; Apache Spark Integration (Runtime)</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Prime ID embeddings provide a dense, algebraically stable tensor representation suitable for Machine Learning.</w:t>
      </w:r>
    </w:p>
    <w:p w:rsidR="00000000" w:rsidDel="00000000" w:rsidP="00000000" w:rsidRDefault="00000000" w:rsidRPr="00000000" w14:paraId="00000034">
      <w:pPr>
        <w:numPr>
          <w:ilvl w:val="0"/>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Embeddings Tensors</w:t>
      </w:r>
      <w:r w:rsidDel="00000000" w:rsidR="00000000" w:rsidRPr="00000000">
        <w:rPr>
          <w:rFonts w:ascii="Google Sans" w:cs="Google Sans" w:eastAsia="Google Sans" w:hAnsi="Google Sans"/>
          <w:color w:val="1f1f1f"/>
          <w:rtl w:val="0"/>
        </w:rPr>
        <w:t xml:space="preserve">: Prime embeddings are serialized into distributed tensors.</w:t>
      </w:r>
    </w:p>
    <w:p w:rsidR="00000000" w:rsidDel="00000000" w:rsidP="00000000" w:rsidRDefault="00000000" w:rsidRPr="00000000" w14:paraId="00000035">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Train</w:t>
      </w:r>
      <w:r w:rsidDel="00000000" w:rsidR="00000000" w:rsidRPr="00000000">
        <w:rPr>
          <w:rFonts w:ascii="Google Sans" w:cs="Google Sans" w:eastAsia="Google Sans" w:hAnsi="Google Sans"/>
          <w:color w:val="1f1f1f"/>
          <w:rtl w:val="0"/>
        </w:rPr>
        <w:t xml:space="preserve">: Source context encodings are fed into Apache Spark MLlib pipelines continuously as the raw SPO stream flows.</w:t>
      </w:r>
    </w:p>
    <w:p w:rsidR="00000000" w:rsidDel="00000000" w:rsidP="00000000" w:rsidRDefault="00000000" w:rsidRPr="00000000" w14:paraId="00000036">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Predict</w:t>
      </w:r>
      <w:r w:rsidDel="00000000" w:rsidR="00000000" w:rsidRPr="00000000">
        <w:rPr>
          <w:rFonts w:ascii="Google Sans" w:cs="Google Sans" w:eastAsia="Google Sans" w:hAnsi="Google Sans"/>
          <w:color w:val="1f1f1f"/>
          <w:rtl w:val="0"/>
        </w:rPr>
        <w:t xml:space="preserve">: Materializes contexts reactively based on context updates.</w:t>
      </w:r>
    </w:p>
    <w:p w:rsidR="00000000" w:rsidDel="00000000" w:rsidP="00000000" w:rsidRDefault="00000000" w:rsidRPr="00000000" w14:paraId="00000037">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Model Mapping</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38">
      <w:pPr>
        <w:numPr>
          <w:ilvl w:val="1"/>
          <w:numId w:val="11"/>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w:cs="Google Sans" w:eastAsia="Google Sans" w:hAnsi="Google Sans"/>
          <w:i w:val="1"/>
          <w:iCs w:val="1"/>
          <w:color w:val="1f1f1f"/>
          <w:rtl w:val="0"/>
        </w:rPr>
        <w:t xml:space="preserve">Classification</w:t>
      </w:r>
      <w:r w:rsidDel="00000000" w:rsidR="00000000" w:rsidRPr="00000000">
        <w:rPr>
          <w:rFonts w:ascii="Google Sans" w:cs="Google Sans" w:eastAsia="Google Sans" w:hAnsi="Google Sans"/>
          <w:color w:val="1f1f1f"/>
          <w:rtl w:val="0"/>
        </w:rPr>
        <w:t xml:space="preserve"> -&gt; Driven by </w:t>
      </w:r>
      <w:r w:rsidDel="00000000" w:rsidR="00000000" w:rsidRPr="00000000">
        <w:rPr>
          <w:rFonts w:ascii="Google Sans" w:cs="Google Sans" w:eastAsia="Google Sans" w:hAnsi="Google Sans"/>
          <w:b w:val="1"/>
          <w:bCs w:val="1"/>
          <w:color w:val="1f1f1f"/>
          <w:rtl w:val="0"/>
        </w:rPr>
        <w:t xml:space="preserve">Aggregation</w:t>
      </w:r>
      <w:r w:rsidDel="00000000" w:rsidR="00000000" w:rsidRPr="00000000">
        <w:rPr>
          <w:rFonts w:ascii="Google Sans" w:cs="Google Sans" w:eastAsia="Google Sans" w:hAnsi="Google Sans"/>
          <w:color w:val="1f1f1f"/>
          <w:rtl w:val="0"/>
        </w:rPr>
        <w:t xml:space="preserve"> (Schema mapping).</w:t>
      </w:r>
    </w:p>
    <w:p w:rsidR="00000000" w:rsidDel="00000000" w:rsidP="00000000" w:rsidRDefault="00000000" w:rsidRPr="00000000" w14:paraId="00000039">
      <w:pPr>
        <w:numPr>
          <w:ilvl w:val="1"/>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w:cs="Google Sans" w:eastAsia="Google Sans" w:hAnsi="Google Sans"/>
          <w:i w:val="1"/>
          <w:iCs w:val="1"/>
          <w:color w:val="1f1f1f"/>
          <w:rtl w:val="0"/>
        </w:rPr>
        <w:t xml:space="preserve">Clustering</w:t>
      </w:r>
      <w:r w:rsidDel="00000000" w:rsidR="00000000" w:rsidRPr="00000000">
        <w:rPr>
          <w:rFonts w:ascii="Google Sans" w:cs="Google Sans" w:eastAsia="Google Sans" w:hAnsi="Google Sans"/>
          <w:color w:val="1f1f1f"/>
          <w:rtl w:val="0"/>
        </w:rPr>
        <w:t xml:space="preserve"> -&gt; Driven by </w:t>
      </w:r>
      <w:r w:rsidDel="00000000" w:rsidR="00000000" w:rsidRPr="00000000">
        <w:rPr>
          <w:rFonts w:ascii="Google Sans" w:cs="Google Sans" w:eastAsia="Google Sans" w:hAnsi="Google Sans"/>
          <w:b w:val="1"/>
          <w:bCs w:val="1"/>
          <w:color w:val="1f1f1f"/>
          <w:rtl w:val="0"/>
        </w:rPr>
        <w:t xml:space="preserve">Alignment</w:t>
      </w:r>
      <w:r w:rsidDel="00000000" w:rsidR="00000000" w:rsidRPr="00000000">
        <w:rPr>
          <w:rFonts w:ascii="Google Sans" w:cs="Google Sans" w:eastAsia="Google Sans" w:hAnsi="Google Sans"/>
          <w:color w:val="1f1f1f"/>
          <w:rtl w:val="0"/>
        </w:rPr>
        <w:t xml:space="preserve"> (Finding temporal/hierarchical similarity).</w:t>
      </w:r>
    </w:p>
    <w:p w:rsidR="00000000" w:rsidDel="00000000" w:rsidP="00000000" w:rsidRDefault="00000000" w:rsidRPr="00000000" w14:paraId="0000003A">
      <w:pPr>
        <w:numPr>
          <w:ilvl w:val="1"/>
          <w:numId w:val="1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w:cs="Google Sans" w:eastAsia="Google Sans" w:hAnsi="Google Sans"/>
          <w:i w:val="1"/>
          <w:iCs w:val="1"/>
          <w:color w:val="1f1f1f"/>
          <w:rtl w:val="0"/>
        </w:rPr>
        <w:t xml:space="preserve">Regression</w:t>
      </w:r>
      <w:r w:rsidDel="00000000" w:rsidR="00000000" w:rsidRPr="00000000">
        <w:rPr>
          <w:rFonts w:ascii="Google Sans" w:cs="Google Sans" w:eastAsia="Google Sans" w:hAnsi="Google Sans"/>
          <w:color w:val="1f1f1f"/>
          <w:rtl w:val="0"/>
        </w:rPr>
        <w:t xml:space="preserve"> -&gt; Driven by </w:t>
      </w:r>
      <w:r w:rsidDel="00000000" w:rsidR="00000000" w:rsidRPr="00000000">
        <w:rPr>
          <w:rFonts w:ascii="Google Sans" w:cs="Google Sans" w:eastAsia="Google Sans" w:hAnsi="Google Sans"/>
          <w:b w:val="1"/>
          <w:bCs w:val="1"/>
          <w:color w:val="1f1f1f"/>
          <w:rtl w:val="0"/>
        </w:rPr>
        <w:t xml:space="preserve">Activation</w:t>
      </w:r>
      <w:r w:rsidDel="00000000" w:rsidR="00000000" w:rsidRPr="00000000">
        <w:rPr>
          <w:rFonts w:ascii="Google Sans" w:cs="Google Sans" w:eastAsia="Google Sans" w:hAnsi="Google Sans"/>
          <w:color w:val="1f1f1f"/>
          <w:rtl w:val="0"/>
        </w:rPr>
        <w:t xml:space="preserve"> (Predicting quantitative state shifts or binary transitions).</w:t>
      </w:r>
    </w:p>
    <w:p w:rsidR="00000000" w:rsidDel="00000000" w:rsidP="00000000" w:rsidRDefault="00000000" w:rsidRPr="00000000" w14:paraId="0000003B">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6. Implementation Checklist for Developers</w:t>
      </w:r>
    </w:p>
    <w:p w:rsidR="00000000" w:rsidDel="00000000" w:rsidP="00000000" w:rsidRDefault="00000000" w:rsidRPr="00000000" w14:paraId="0000003C">
      <w:pPr>
        <w:numPr>
          <w:ilvl w:val="0"/>
          <w:numId w:val="12"/>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w:cs="Google Sans" w:eastAsia="Google Sans" w:hAnsi="Google Sans"/>
          <w:color w:val="1f1f1f"/>
          <w:rtl w:val="0"/>
        </w:rPr>
        <w:t xml:space="preserve">[ ] </w:t>
      </w:r>
      <w:r w:rsidDel="00000000" w:rsidR="00000000" w:rsidRPr="00000000">
        <w:rPr>
          <w:rFonts w:ascii="Google Sans" w:cs="Google Sans" w:eastAsia="Google Sans" w:hAnsi="Google Sans"/>
          <w:b w:val="1"/>
          <w:bCs w:val="1"/>
          <w:color w:val="1f1f1f"/>
          <w:rtl w:val="0"/>
        </w:rPr>
        <w:t xml:space="preserve">FCA Foundation</w:t>
      </w:r>
      <w:r w:rsidDel="00000000" w:rsidR="00000000" w:rsidRPr="00000000">
        <w:rPr>
          <w:rFonts w:ascii="Google Sans" w:cs="Google Sans" w:eastAsia="Google Sans" w:hAnsi="Google Sans"/>
          <w:color w:val="1f1f1f"/>
          <w:rtl w:val="0"/>
        </w:rPr>
        <w:t xml:space="preserve">: Implement ContextPoint and prime number generation service.</w:t>
      </w:r>
    </w:p>
    <w:p w:rsidR="00000000" w:rsidDel="00000000" w:rsidP="00000000" w:rsidRDefault="00000000" w:rsidRPr="00000000" w14:paraId="0000003D">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w:cs="Google Sans" w:eastAsia="Google Sans" w:hAnsi="Google Sans"/>
          <w:color w:val="1f1f1f"/>
          <w:rtl w:val="0"/>
        </w:rPr>
        <w:t xml:space="preserve">[ ] </w:t>
      </w:r>
      <w:r w:rsidDel="00000000" w:rsidR="00000000" w:rsidRPr="00000000">
        <w:rPr>
          <w:rFonts w:ascii="Google Sans" w:cs="Google Sans" w:eastAsia="Google Sans" w:hAnsi="Google Sans"/>
          <w:b w:val="1"/>
          <w:bCs w:val="1"/>
          <w:color w:val="1f1f1f"/>
          <w:rtl w:val="0"/>
        </w:rPr>
        <w:t xml:space="preserve">SPO Ingestion</w:t>
      </w:r>
      <w:r w:rsidDel="00000000" w:rsidR="00000000" w:rsidRPr="00000000">
        <w:rPr>
          <w:rFonts w:ascii="Google Sans" w:cs="Google Sans" w:eastAsia="Google Sans" w:hAnsi="Google Sans"/>
          <w:color w:val="1f1f1f"/>
          <w:rtl w:val="0"/>
        </w:rPr>
        <w:t xml:space="preserve">: Build the Datasource Resource adapters for legacy system integration.</w:t>
      </w:r>
    </w:p>
    <w:p w:rsidR="00000000" w:rsidDel="00000000" w:rsidP="00000000" w:rsidRDefault="00000000" w:rsidRPr="00000000" w14:paraId="0000003E">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w:cs="Google Sans" w:eastAsia="Google Sans" w:hAnsi="Google Sans"/>
          <w:color w:val="1f1f1f"/>
          <w:rtl w:val="0"/>
        </w:rPr>
        <w:t xml:space="preserve">[ ] </w:t>
      </w:r>
      <w:r w:rsidDel="00000000" w:rsidR="00000000" w:rsidRPr="00000000">
        <w:rPr>
          <w:rFonts w:ascii="Google Sans" w:cs="Google Sans" w:eastAsia="Google Sans" w:hAnsi="Google Sans"/>
          <w:b w:val="1"/>
          <w:bCs w:val="1"/>
          <w:color w:val="1f1f1f"/>
          <w:rtl w:val="0"/>
        </w:rPr>
        <w:t xml:space="preserve">Graph Rotation</w:t>
      </w:r>
      <w:r w:rsidDel="00000000" w:rsidR="00000000" w:rsidRPr="00000000">
        <w:rPr>
          <w:rFonts w:ascii="Google Sans" w:cs="Google Sans" w:eastAsia="Google Sans" w:hAnsi="Google Sans"/>
          <w:color w:val="1f1f1f"/>
          <w:rtl w:val="0"/>
        </w:rPr>
        <w:t xml:space="preserve">: Implement the flatMap stream operators to split SPO into the 3 Triadic Contexts.</w:t>
      </w:r>
    </w:p>
    <w:p w:rsidR="00000000" w:rsidDel="00000000" w:rsidP="00000000" w:rsidRDefault="00000000" w:rsidRPr="00000000" w14:paraId="0000003F">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w:cs="Google Sans" w:eastAsia="Google Sans" w:hAnsi="Google Sans"/>
          <w:color w:val="1f1f1f"/>
          <w:rtl w:val="0"/>
        </w:rPr>
        <w:t xml:space="preserve">[ ] </w:t>
      </w:r>
      <w:r w:rsidDel="00000000" w:rsidR="00000000" w:rsidRPr="00000000">
        <w:rPr>
          <w:rFonts w:ascii="Google Sans" w:cs="Google Sans" w:eastAsia="Google Sans" w:hAnsi="Google Sans"/>
          <w:b w:val="1"/>
          <w:bCs w:val="1"/>
          <w:color w:val="1f1f1f"/>
          <w:rtl w:val="0"/>
        </w:rPr>
        <w:t xml:space="preserve">Prime Arithmetic</w:t>
      </w:r>
      <w:r w:rsidDel="00000000" w:rsidR="00000000" w:rsidRPr="00000000">
        <w:rPr>
          <w:rFonts w:ascii="Google Sans" w:cs="Google Sans" w:eastAsia="Google Sans" w:hAnsi="Google Sans"/>
          <w:color w:val="1f1f1f"/>
          <w:rtl w:val="0"/>
        </w:rPr>
        <w:t xml:space="preserve">: Implement BigInteger multiplication for embedding calculation and Modulo operations for stream filtering.</w:t>
      </w:r>
    </w:p>
    <w:p w:rsidR="00000000" w:rsidDel="00000000" w:rsidP="00000000" w:rsidRDefault="00000000" w:rsidRPr="00000000" w14:paraId="00000040">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w:cs="Google Sans" w:eastAsia="Google Sans" w:hAnsi="Google Sans"/>
          <w:color w:val="1f1f1f"/>
          <w:rtl w:val="0"/>
        </w:rPr>
        <w:t xml:space="preserve">[ ] </w:t>
      </w:r>
      <w:r w:rsidDel="00000000" w:rsidR="00000000" w:rsidRPr="00000000">
        <w:rPr>
          <w:rFonts w:ascii="Google Sans" w:cs="Google Sans" w:eastAsia="Google Sans" w:hAnsi="Google Sans"/>
          <w:b w:val="1"/>
          <w:bCs w:val="1"/>
          <w:color w:val="1f1f1f"/>
          <w:rtl w:val="0"/>
        </w:rPr>
        <w:t xml:space="preserve">Event Bus</w:t>
      </w:r>
      <w:r w:rsidDel="00000000" w:rsidR="00000000" w:rsidRPr="00000000">
        <w:rPr>
          <w:rFonts w:ascii="Google Sans" w:cs="Google Sans" w:eastAsia="Google Sans" w:hAnsi="Google Sans"/>
          <w:color w:val="1f1f1f"/>
          <w:rtl w:val="0"/>
        </w:rPr>
        <w:t xml:space="preserve">: Deploy the Semantic URN Pub/Sub message broker.</w:t>
      </w:r>
    </w:p>
    <w:p w:rsidR="00000000" w:rsidDel="00000000" w:rsidP="00000000" w:rsidRDefault="00000000" w:rsidRPr="00000000" w14:paraId="00000041">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w:cs="Google Sans" w:eastAsia="Google Sans" w:hAnsi="Google Sans"/>
          <w:color w:val="1f1f1f"/>
          <w:rtl w:val="0"/>
        </w:rPr>
        <w:t xml:space="preserve">[ ] </w:t>
      </w:r>
      <w:r w:rsidDel="00000000" w:rsidR="00000000" w:rsidRPr="00000000">
        <w:rPr>
          <w:rFonts w:ascii="Google Sans" w:cs="Google Sans" w:eastAsia="Google Sans" w:hAnsi="Google Sans"/>
          <w:b w:val="1"/>
          <w:bCs w:val="1"/>
          <w:color w:val="1f1f1f"/>
          <w:rtl w:val="0"/>
        </w:rPr>
        <w:t xml:space="preserve">ML Connectors</w:t>
      </w:r>
      <w:r w:rsidDel="00000000" w:rsidR="00000000" w:rsidRPr="00000000">
        <w:rPr>
          <w:rFonts w:ascii="Google Sans" w:cs="Google Sans" w:eastAsia="Google Sans" w:hAnsi="Google Sans"/>
          <w:color w:val="1f1f1f"/>
          <w:rtl w:val="0"/>
        </w:rPr>
        <w:t xml:space="preserve">: Bridge the Java/Scala stream Monads to Apache Spark for Tensor computation (Train/Predict loops).</w:t>
      </w:r>
    </w:p>
    <w:p w:rsidR="00000000" w:rsidDel="00000000" w:rsidP="00000000" w:rsidRDefault="00000000" w:rsidRPr="00000000" w14:paraId="00000042">
      <w:pPr>
        <w:numPr>
          <w:ilvl w:val="0"/>
          <w:numId w:val="1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w:cs="Google Sans" w:eastAsia="Google Sans" w:hAnsi="Google Sans"/>
          <w:color w:val="1f1f1f"/>
          <w:rtl w:val="0"/>
        </w:rPr>
        <w:t xml:space="preserve">[ ] </w:t>
      </w:r>
      <w:r w:rsidDel="00000000" w:rsidR="00000000" w:rsidRPr="00000000">
        <w:rPr>
          <w:rFonts w:ascii="Google Sans" w:cs="Google Sans" w:eastAsia="Google Sans" w:hAnsi="Google Sans"/>
          <w:b w:val="1"/>
          <w:bCs w:val="1"/>
          <w:color w:val="1f1f1f"/>
          <w:rtl w:val="0"/>
        </w:rPr>
        <w:t xml:space="preserve">Pipelines</w:t>
      </w:r>
      <w:r w:rsidDel="00000000" w:rsidR="00000000" w:rsidRPr="00000000">
        <w:rPr>
          <w:rFonts w:ascii="Google Sans" w:cs="Google Sans" w:eastAsia="Google Sans" w:hAnsi="Google Sans"/>
          <w:color w:val="1f1f1f"/>
          <w:rtl w:val="0"/>
        </w:rPr>
        <w:t xml:space="preserve">: Implement the dedicated Aggregation, Alignment, and Activation consumer groups.</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2">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