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9C" w:rsidRPr="002B619C" w:rsidRDefault="002B619C" w:rsidP="00BE149E">
      <w:pPr>
        <w:rPr>
          <w:b/>
          <w:u w:val="single"/>
          <w:lang w:val="en-US"/>
        </w:rPr>
      </w:pPr>
      <w:r w:rsidRPr="002B619C">
        <w:rPr>
          <w:b/>
          <w:u w:val="single"/>
          <w:lang w:val="en-US"/>
        </w:rPr>
        <w:t xml:space="preserve">Basic invention of the main </w:t>
      </w:r>
      <w:r w:rsidR="00334822">
        <w:rPr>
          <w:b/>
          <w:u w:val="single"/>
          <w:lang w:val="en-US"/>
        </w:rPr>
        <w:t>r</w:t>
      </w:r>
      <w:r w:rsidRPr="002B619C">
        <w:rPr>
          <w:b/>
          <w:u w:val="single"/>
          <w:lang w:val="en-US"/>
        </w:rPr>
        <w:t>egulations</w:t>
      </w:r>
      <w:r w:rsidR="00334822">
        <w:rPr>
          <w:b/>
          <w:u w:val="single"/>
          <w:lang w:val="en-US"/>
        </w:rPr>
        <w:t xml:space="preserve"> in euro area / EU</w:t>
      </w:r>
      <w:r w:rsidRPr="002B619C">
        <w:rPr>
          <w:b/>
          <w:u w:val="single"/>
          <w:lang w:val="en-US"/>
        </w:rPr>
        <w:t>:</w:t>
      </w:r>
    </w:p>
    <w:p w:rsidR="002B619C" w:rsidRDefault="002B619C" w:rsidP="00BE149E">
      <w:pPr>
        <w:rPr>
          <w:b/>
          <w:lang w:val="en-US"/>
        </w:rPr>
      </w:pPr>
    </w:p>
    <w:p w:rsidR="00BE149E" w:rsidRPr="00700C4B" w:rsidRDefault="00BE149E" w:rsidP="00BE149E">
      <w:pPr>
        <w:rPr>
          <w:b/>
          <w:lang w:val="en-US"/>
        </w:rPr>
      </w:pPr>
      <w:r w:rsidRPr="00700C4B">
        <w:rPr>
          <w:b/>
          <w:lang w:val="en-US"/>
        </w:rPr>
        <w:t>Banking and finance regulation (P</w:t>
      </w:r>
      <w:r w:rsidRPr="00700C4B">
        <w:rPr>
          <w:b/>
          <w:lang w:val="en-US"/>
        </w:rPr>
        <w:t xml:space="preserve">ayments </w:t>
      </w:r>
      <w:r w:rsidRPr="00700C4B">
        <w:rPr>
          <w:b/>
          <w:lang w:val="en-US"/>
        </w:rPr>
        <w:t>S</w:t>
      </w:r>
      <w:r w:rsidRPr="00700C4B">
        <w:rPr>
          <w:b/>
          <w:lang w:val="en-US"/>
        </w:rPr>
        <w:t xml:space="preserve">ervices </w:t>
      </w:r>
      <w:r w:rsidRPr="00700C4B">
        <w:rPr>
          <w:b/>
          <w:lang w:val="en-US"/>
        </w:rPr>
        <w:t>D</w:t>
      </w:r>
      <w:r w:rsidRPr="00700C4B">
        <w:rPr>
          <w:b/>
          <w:lang w:val="en-US"/>
        </w:rPr>
        <w:t>irective</w:t>
      </w:r>
      <w:r w:rsidRPr="00700C4B">
        <w:rPr>
          <w:b/>
          <w:lang w:val="en-US"/>
        </w:rPr>
        <w:t>, E-money, S</w:t>
      </w:r>
      <w:r w:rsidRPr="00700C4B">
        <w:rPr>
          <w:b/>
          <w:lang w:val="en-US"/>
        </w:rPr>
        <w:t>ingle Euro Payments Area</w:t>
      </w:r>
      <w:r w:rsidRPr="00700C4B">
        <w:rPr>
          <w:b/>
          <w:lang w:val="en-US"/>
        </w:rPr>
        <w:t>):</w:t>
      </w:r>
    </w:p>
    <w:p w:rsidR="00BE149E" w:rsidRDefault="00CD277C" w:rsidP="00BE149E">
      <w:pPr>
        <w:rPr>
          <w:lang w:val="en-US"/>
        </w:rPr>
      </w:pPr>
      <w:hyperlink r:id="rId8" w:history="1">
        <w:r w:rsidRPr="004137A8">
          <w:rPr>
            <w:rStyle w:val="Hyperlink"/>
            <w:lang w:val="en-US"/>
          </w:rPr>
          <w:t>http://ec.europa.eu/finance/payments/framework/index_en.htm</w:t>
        </w:r>
      </w:hyperlink>
    </w:p>
    <w:p w:rsidR="00BE149E" w:rsidRPr="00700C4B" w:rsidRDefault="00BE149E" w:rsidP="00BE149E">
      <w:pPr>
        <w:rPr>
          <w:lang w:val="en-US"/>
        </w:rPr>
      </w:pPr>
    </w:p>
    <w:p w:rsidR="00143D02" w:rsidRPr="00700C4B" w:rsidRDefault="00143D02" w:rsidP="00143D02">
      <w:pPr>
        <w:rPr>
          <w:rFonts w:cs="Arial"/>
          <w:b/>
          <w:lang w:val="en-US"/>
        </w:rPr>
      </w:pPr>
      <w:r w:rsidRPr="00700C4B">
        <w:rPr>
          <w:rFonts w:cs="Arial"/>
          <w:b/>
          <w:lang w:val="en-US"/>
        </w:rPr>
        <w:t>Anti-Money Laundering and Countering the Financing of Terrorism (AML and FATF)</w:t>
      </w:r>
      <w:r>
        <w:rPr>
          <w:rFonts w:cs="Arial"/>
          <w:b/>
          <w:lang w:val="en-US"/>
        </w:rPr>
        <w:t>:</w:t>
      </w:r>
    </w:p>
    <w:p w:rsidR="00143D02" w:rsidRDefault="00143D02" w:rsidP="00143D02">
      <w:pPr>
        <w:rPr>
          <w:lang w:val="en-US"/>
        </w:rPr>
      </w:pPr>
      <w:hyperlink r:id="rId9" w:history="1">
        <w:r w:rsidRPr="004137A8">
          <w:rPr>
            <w:rStyle w:val="Hyperlink"/>
            <w:lang w:val="en-US"/>
          </w:rPr>
          <w:t>https://www.eba.europa.eu/regulation-and-policy/anti-money-laundering-and-e-money</w:t>
        </w:r>
      </w:hyperlink>
    </w:p>
    <w:p w:rsidR="00143D02" w:rsidRDefault="00143D02" w:rsidP="00143D02">
      <w:pPr>
        <w:rPr>
          <w:lang w:val="en-US"/>
        </w:rPr>
      </w:pPr>
    </w:p>
    <w:p w:rsidR="00700C4B" w:rsidRPr="00700C4B" w:rsidRDefault="00700C4B" w:rsidP="00700C4B">
      <w:pPr>
        <w:rPr>
          <w:b/>
          <w:lang w:val="en-US"/>
        </w:rPr>
      </w:pPr>
      <w:r w:rsidRPr="00700C4B">
        <w:rPr>
          <w:b/>
          <w:lang w:val="en-US"/>
        </w:rPr>
        <w:t xml:space="preserve">Oversight Framework (Eurosystem oversight of </w:t>
      </w:r>
      <w:r w:rsidRPr="00700C4B">
        <w:rPr>
          <w:b/>
          <w:bCs/>
          <w:lang w:val="en-US"/>
        </w:rPr>
        <w:t>retail payment systems):</w:t>
      </w:r>
    </w:p>
    <w:p w:rsidR="00700C4B" w:rsidRDefault="00700C4B" w:rsidP="00700C4B">
      <w:hyperlink r:id="rId10" w:history="1">
        <w:r w:rsidRPr="00700C4B">
          <w:rPr>
            <w:rStyle w:val="Hyperlink"/>
            <w:color w:val="auto"/>
            <w:lang w:val="en-US"/>
          </w:rPr>
          <w:t>https://www.ecb.europa.eu/home/search/html/index.en.html?q=retail+payment+syst</w:t>
        </w:r>
        <w:r w:rsidRPr="00700C4B">
          <w:rPr>
            <w:rStyle w:val="Hyperlink"/>
            <w:color w:val="auto"/>
            <w:lang w:val="en-US"/>
          </w:rPr>
          <w:t>e</w:t>
        </w:r>
        <w:r w:rsidRPr="00700C4B">
          <w:rPr>
            <w:rStyle w:val="Hyperlink"/>
            <w:color w:val="auto"/>
            <w:lang w:val="en-US"/>
          </w:rPr>
          <w:t>ms</w:t>
        </w:r>
      </w:hyperlink>
    </w:p>
    <w:p w:rsidR="00700C4B" w:rsidRPr="00700C4B" w:rsidRDefault="00700C4B" w:rsidP="00700C4B">
      <w:pPr>
        <w:rPr>
          <w:lang w:val="en-US"/>
        </w:rPr>
      </w:pPr>
    </w:p>
    <w:p w:rsidR="00143D02" w:rsidRPr="00700C4B" w:rsidRDefault="00143D02" w:rsidP="00143D02">
      <w:pPr>
        <w:rPr>
          <w:b/>
          <w:lang w:val="en-US"/>
        </w:rPr>
      </w:pPr>
      <w:r w:rsidRPr="00700C4B">
        <w:rPr>
          <w:rFonts w:cs="Arial"/>
          <w:b/>
          <w:lang w:val="en-US"/>
        </w:rPr>
        <w:t>Regulatory Technical Standards on strong customer authentication and secure communication under PSD2</w:t>
      </w:r>
      <w:r>
        <w:rPr>
          <w:rFonts w:cs="Arial"/>
          <w:b/>
          <w:lang w:val="en-US"/>
        </w:rPr>
        <w:t>:</w:t>
      </w:r>
    </w:p>
    <w:p w:rsidR="00143D02" w:rsidRDefault="00143D02" w:rsidP="00143D02">
      <w:pPr>
        <w:rPr>
          <w:lang w:val="en-US"/>
        </w:rPr>
      </w:pPr>
      <w:hyperlink r:id="rId11" w:history="1">
        <w:r w:rsidRPr="004137A8">
          <w:rPr>
            <w:rStyle w:val="Hyperlink"/>
            <w:lang w:val="en-US"/>
          </w:rPr>
          <w:t>https://www.eba.europa.eu/regulation-and-policy/payment-services-and-electronic-money/regulatory-technical-standards-on-strong-customer-authentication-and-secure-communication-under-psd2</w:t>
        </w:r>
      </w:hyperlink>
    </w:p>
    <w:p w:rsidR="00143D02" w:rsidRPr="00700C4B" w:rsidRDefault="00143D02" w:rsidP="00143D02">
      <w:pPr>
        <w:rPr>
          <w:lang w:val="en-US"/>
        </w:rPr>
      </w:pPr>
    </w:p>
    <w:p w:rsidR="00BE149E" w:rsidRPr="00700C4B" w:rsidRDefault="00BE149E" w:rsidP="00BE149E">
      <w:pPr>
        <w:rPr>
          <w:b/>
          <w:lang w:val="en-US"/>
        </w:rPr>
      </w:pPr>
      <w:r w:rsidRPr="00700C4B">
        <w:rPr>
          <w:b/>
          <w:lang w:val="en-US"/>
        </w:rPr>
        <w:t>Prudential requirements:</w:t>
      </w:r>
    </w:p>
    <w:p w:rsidR="00BE149E" w:rsidRDefault="00CD277C" w:rsidP="00BE149E">
      <w:pPr>
        <w:rPr>
          <w:lang w:val="en-US"/>
        </w:rPr>
      </w:pPr>
      <w:hyperlink r:id="rId12" w:history="1">
        <w:r w:rsidRPr="004137A8">
          <w:rPr>
            <w:rStyle w:val="Hyperlink"/>
            <w:lang w:val="en-US"/>
          </w:rPr>
          <w:t>http://ec.europa.eu/finance/bank/regcapital/index_en.htm</w:t>
        </w:r>
      </w:hyperlink>
    </w:p>
    <w:p w:rsidR="00700C4B" w:rsidRPr="00700C4B" w:rsidRDefault="00700C4B" w:rsidP="00700C4B">
      <w:pPr>
        <w:rPr>
          <w:b/>
          <w:lang w:val="en-US"/>
        </w:rPr>
      </w:pPr>
    </w:p>
    <w:p w:rsidR="00AD6D26" w:rsidRPr="00700C4B" w:rsidRDefault="00BE149E" w:rsidP="00F90D70">
      <w:pPr>
        <w:rPr>
          <w:b/>
          <w:lang w:val="en-US"/>
        </w:rPr>
      </w:pPr>
      <w:r w:rsidRPr="00700C4B">
        <w:rPr>
          <w:b/>
          <w:lang w:val="en-US"/>
        </w:rPr>
        <w:t xml:space="preserve">Oversight requirements (such as </w:t>
      </w:r>
      <w:r w:rsidR="00AD6D26" w:rsidRPr="00700C4B">
        <w:rPr>
          <w:b/>
          <w:lang w:val="en-US"/>
        </w:rPr>
        <w:t>Principles for Financial Market Infrastructures (PFMIs);</w:t>
      </w:r>
      <w:r w:rsidRPr="00700C4B">
        <w:rPr>
          <w:b/>
          <w:lang w:val="en-US"/>
        </w:rPr>
        <w:t xml:space="preserve"> </w:t>
      </w:r>
      <w:r w:rsidR="00AD6D26" w:rsidRPr="00700C4B">
        <w:rPr>
          <w:b/>
          <w:lang w:val="en-US"/>
        </w:rPr>
        <w:t>Oversight policy framework</w:t>
      </w:r>
      <w:r w:rsidRPr="00700C4B">
        <w:rPr>
          <w:b/>
          <w:lang w:val="en-US"/>
        </w:rPr>
        <w:t xml:space="preserve">; </w:t>
      </w:r>
      <w:r w:rsidR="00AD6D26" w:rsidRPr="00700C4B">
        <w:rPr>
          <w:b/>
          <w:lang w:val="en-US"/>
        </w:rPr>
        <w:t>Guidance on Cyber Security</w:t>
      </w:r>
      <w:r w:rsidRPr="00700C4B">
        <w:rPr>
          <w:b/>
          <w:lang w:val="en-US"/>
        </w:rPr>
        <w:t>):</w:t>
      </w:r>
    </w:p>
    <w:p w:rsidR="00AD6D26" w:rsidRPr="00700C4B" w:rsidRDefault="00BE149E" w:rsidP="00F90D70">
      <w:pPr>
        <w:rPr>
          <w:lang w:val="en-US"/>
        </w:rPr>
      </w:pPr>
      <w:hyperlink r:id="rId13" w:history="1">
        <w:r w:rsidRPr="00700C4B">
          <w:rPr>
            <w:rStyle w:val="Hyperlink"/>
            <w:color w:val="auto"/>
            <w:lang w:val="en-US"/>
          </w:rPr>
          <w:t>https://www.ecb.europa.eu/</w:t>
        </w:r>
        <w:r w:rsidRPr="00700C4B">
          <w:rPr>
            <w:rStyle w:val="Hyperlink"/>
            <w:color w:val="auto"/>
            <w:lang w:val="en-US"/>
          </w:rPr>
          <w:t>p</w:t>
        </w:r>
        <w:r w:rsidRPr="00700C4B">
          <w:rPr>
            <w:rStyle w:val="Hyperlink"/>
            <w:color w:val="auto"/>
            <w:lang w:val="en-US"/>
          </w:rPr>
          <w:t>aym/pol/html/index.en.html</w:t>
        </w:r>
      </w:hyperlink>
    </w:p>
    <w:p w:rsidR="00BE149E" w:rsidRPr="00700C4B" w:rsidRDefault="00BE149E" w:rsidP="00F90D70">
      <w:pPr>
        <w:rPr>
          <w:lang w:val="en-US"/>
        </w:rPr>
      </w:pPr>
    </w:p>
    <w:p w:rsidR="00BE149E" w:rsidRPr="00700C4B" w:rsidRDefault="00BE149E" w:rsidP="00F90D70">
      <w:pPr>
        <w:rPr>
          <w:b/>
          <w:lang w:val="en"/>
        </w:rPr>
      </w:pPr>
      <w:r w:rsidRPr="00700C4B">
        <w:rPr>
          <w:b/>
          <w:lang w:val="en"/>
        </w:rPr>
        <w:t>European Market Infrastructure Regulation</w:t>
      </w:r>
      <w:r w:rsidR="00700C4B" w:rsidRPr="00700C4B">
        <w:rPr>
          <w:b/>
          <w:lang w:val="en"/>
        </w:rPr>
        <w:t xml:space="preserve"> (EMIR):</w:t>
      </w:r>
    </w:p>
    <w:p w:rsidR="00700C4B" w:rsidRDefault="00CD277C" w:rsidP="00F90D70">
      <w:pPr>
        <w:rPr>
          <w:lang w:val="en"/>
        </w:rPr>
      </w:pPr>
      <w:hyperlink r:id="rId14" w:history="1">
        <w:r w:rsidRPr="004137A8">
          <w:rPr>
            <w:rStyle w:val="Hyperlink"/>
            <w:lang w:val="en"/>
          </w:rPr>
          <w:t>http://ec.europa.eu/finance/financial-markets/derivatives/index_en.htm</w:t>
        </w:r>
      </w:hyperlink>
    </w:p>
    <w:p w:rsidR="00700C4B" w:rsidRPr="00700C4B" w:rsidRDefault="00700C4B" w:rsidP="00F90D70">
      <w:pPr>
        <w:rPr>
          <w:lang w:val="en-US"/>
        </w:rPr>
      </w:pPr>
    </w:p>
    <w:p w:rsidR="00ED51C2" w:rsidRDefault="00ED51C2" w:rsidP="00230242">
      <w:pPr>
        <w:rPr>
          <w:b/>
          <w:lang w:val="en"/>
        </w:rPr>
      </w:pPr>
    </w:p>
    <w:p w:rsidR="00ED51C2" w:rsidRPr="002B619C" w:rsidRDefault="00ED51C2" w:rsidP="00230242">
      <w:pPr>
        <w:rPr>
          <w:b/>
          <w:u w:val="single"/>
          <w:lang w:val="en"/>
        </w:rPr>
      </w:pPr>
      <w:r w:rsidRPr="002B619C">
        <w:rPr>
          <w:b/>
          <w:u w:val="single"/>
          <w:lang w:val="en"/>
        </w:rPr>
        <w:t>List of the supervisory authorities:</w:t>
      </w:r>
    </w:p>
    <w:p w:rsidR="004B3794" w:rsidRDefault="004B3794" w:rsidP="00230242">
      <w:pPr>
        <w:rPr>
          <w:b/>
          <w:lang w:val="en"/>
        </w:rPr>
      </w:pPr>
    </w:p>
    <w:p w:rsidR="00230242" w:rsidRPr="00A71696" w:rsidRDefault="00230242" w:rsidP="00230242">
      <w:pPr>
        <w:rPr>
          <w:b/>
          <w:lang w:val="en"/>
        </w:rPr>
      </w:pPr>
      <w:bookmarkStart w:id="0" w:name="_GoBack"/>
      <w:bookmarkEnd w:id="0"/>
      <w:r w:rsidRPr="00A71696">
        <w:rPr>
          <w:b/>
          <w:lang w:val="en"/>
        </w:rPr>
        <w:t xml:space="preserve">The three </w:t>
      </w:r>
      <w:r w:rsidRPr="00A71696">
        <w:rPr>
          <w:b/>
          <w:lang w:val="en"/>
        </w:rPr>
        <w:t>European Authorities for the supervision of financial activities</w:t>
      </w:r>
      <w:r w:rsidRPr="00A71696">
        <w:rPr>
          <w:b/>
          <w:lang w:val="en"/>
        </w:rPr>
        <w:t>:</w:t>
      </w:r>
    </w:p>
    <w:p w:rsidR="00230242" w:rsidRPr="00230242" w:rsidRDefault="00230242" w:rsidP="00230242">
      <w:pPr>
        <w:rPr>
          <w:lang w:val="en"/>
        </w:rPr>
      </w:pPr>
      <w:hyperlink r:id="rId15" w:history="1">
        <w:r w:rsidRPr="00230242">
          <w:rPr>
            <w:rStyle w:val="Hyperlink"/>
            <w:lang w:val="en"/>
          </w:rPr>
          <w:t>European Banking Authority</w:t>
        </w:r>
      </w:hyperlink>
      <w:r w:rsidRPr="00230242">
        <w:rPr>
          <w:lang w:val="en"/>
        </w:rPr>
        <w:t xml:space="preserve"> </w:t>
      </w:r>
    </w:p>
    <w:p w:rsidR="00230242" w:rsidRPr="00230242" w:rsidRDefault="00230242" w:rsidP="00230242">
      <w:pPr>
        <w:rPr>
          <w:lang w:val="en"/>
        </w:rPr>
      </w:pPr>
      <w:hyperlink r:id="rId16" w:history="1">
        <w:r w:rsidRPr="00230242">
          <w:rPr>
            <w:rStyle w:val="Hyperlink"/>
            <w:lang w:val="en"/>
          </w:rPr>
          <w:t xml:space="preserve">European Securities and Markets Authority </w:t>
        </w:r>
      </w:hyperlink>
    </w:p>
    <w:p w:rsidR="00230242" w:rsidRPr="00230242" w:rsidRDefault="00230242" w:rsidP="00230242">
      <w:pPr>
        <w:rPr>
          <w:lang w:val="en"/>
        </w:rPr>
      </w:pPr>
      <w:hyperlink r:id="rId17" w:history="1">
        <w:r w:rsidRPr="00230242">
          <w:rPr>
            <w:rStyle w:val="Hyperlink"/>
            <w:lang w:val="en"/>
          </w:rPr>
          <w:t xml:space="preserve">European Insurance and Occupational Pensions Authority </w:t>
        </w:r>
      </w:hyperlink>
    </w:p>
    <w:p w:rsidR="00230242" w:rsidRDefault="00230242" w:rsidP="00230242">
      <w:pPr>
        <w:rPr>
          <w:lang w:val="en"/>
        </w:rPr>
      </w:pPr>
    </w:p>
    <w:p w:rsidR="002B619C" w:rsidRPr="00713BE2" w:rsidRDefault="002B619C" w:rsidP="002B619C">
      <w:pPr>
        <w:rPr>
          <w:b/>
          <w:lang w:val="en-US"/>
        </w:rPr>
      </w:pPr>
      <w:r w:rsidRPr="00713BE2">
        <w:rPr>
          <w:b/>
          <w:lang w:val="en-US"/>
        </w:rPr>
        <w:t>Banking Union</w:t>
      </w:r>
      <w:r>
        <w:rPr>
          <w:b/>
          <w:lang w:val="en-US"/>
        </w:rPr>
        <w:t xml:space="preserve">, consisting on the </w:t>
      </w:r>
      <w:r>
        <w:rPr>
          <w:rStyle w:val="Strong"/>
          <w:lang w:val="en"/>
        </w:rPr>
        <w:t>Single Supervisory Mechanism</w:t>
      </w:r>
      <w:r>
        <w:rPr>
          <w:lang w:val="en"/>
        </w:rPr>
        <w:t xml:space="preserve"> and a </w:t>
      </w:r>
      <w:r>
        <w:rPr>
          <w:rStyle w:val="Strong"/>
          <w:lang w:val="en"/>
        </w:rPr>
        <w:t>Single Resolution Mechanism</w:t>
      </w:r>
      <w:r w:rsidRPr="00713BE2">
        <w:rPr>
          <w:b/>
          <w:lang w:val="en-US"/>
        </w:rPr>
        <w:t>:</w:t>
      </w:r>
    </w:p>
    <w:p w:rsidR="002B619C" w:rsidRDefault="002B619C" w:rsidP="002B619C">
      <w:pPr>
        <w:rPr>
          <w:lang w:val="en-US"/>
        </w:rPr>
      </w:pPr>
      <w:hyperlink r:id="rId18" w:history="1">
        <w:r w:rsidRPr="004137A8">
          <w:rPr>
            <w:rStyle w:val="Hyperlink"/>
            <w:lang w:val="en-US"/>
          </w:rPr>
          <w:t>http://ec.europa.eu/finance/general-policy/banking-union/index_en.htm</w:t>
        </w:r>
      </w:hyperlink>
    </w:p>
    <w:p w:rsidR="002B619C" w:rsidRDefault="002B619C" w:rsidP="002B619C">
      <w:pPr>
        <w:rPr>
          <w:lang w:val="en-US"/>
        </w:rPr>
      </w:pPr>
    </w:p>
    <w:p w:rsidR="00B2513D" w:rsidRPr="00ED51C2" w:rsidRDefault="00B2513D" w:rsidP="00230242">
      <w:pPr>
        <w:rPr>
          <w:b/>
          <w:lang w:val="en"/>
        </w:rPr>
      </w:pPr>
      <w:r w:rsidRPr="00ED51C2">
        <w:rPr>
          <w:b/>
          <w:color w:val="191919"/>
          <w:lang w:val="en"/>
        </w:rPr>
        <w:t>T</w:t>
      </w:r>
      <w:r w:rsidRPr="00ED51C2">
        <w:rPr>
          <w:b/>
          <w:color w:val="191919"/>
          <w:lang w:val="en"/>
        </w:rPr>
        <w:t xml:space="preserve">he national competent authorities in charge of banking supervision in </w:t>
      </w:r>
      <w:r w:rsidRPr="00ED51C2">
        <w:rPr>
          <w:b/>
          <w:color w:val="191919"/>
          <w:lang w:val="en"/>
        </w:rPr>
        <w:t xml:space="preserve">the EU SSM </w:t>
      </w:r>
      <w:r w:rsidRPr="00ED51C2">
        <w:rPr>
          <w:b/>
          <w:color w:val="191919"/>
          <w:lang w:val="en"/>
        </w:rPr>
        <w:t>participating countries</w:t>
      </w:r>
      <w:r w:rsidR="00ED51C2">
        <w:rPr>
          <w:b/>
          <w:color w:val="191919"/>
          <w:lang w:val="en"/>
        </w:rPr>
        <w:t>:</w:t>
      </w:r>
    </w:p>
    <w:p w:rsidR="00230242" w:rsidRDefault="00ED51C2" w:rsidP="00230242">
      <w:pPr>
        <w:rPr>
          <w:lang w:val="en-US"/>
        </w:rPr>
      </w:pPr>
      <w:hyperlink r:id="rId19" w:history="1">
        <w:r w:rsidRPr="004137A8">
          <w:rPr>
            <w:rStyle w:val="Hyperlink"/>
            <w:lang w:val="en-US"/>
          </w:rPr>
          <w:t>https://www.bankingsupervision.europa.eu/organisation/nationalsupervisors/html/index.en.html</w:t>
        </w:r>
      </w:hyperlink>
    </w:p>
    <w:p w:rsidR="00ED51C2" w:rsidRPr="00230242" w:rsidRDefault="00ED51C2" w:rsidP="00230242">
      <w:pPr>
        <w:rPr>
          <w:lang w:val="en-US"/>
        </w:rPr>
      </w:pPr>
    </w:p>
    <w:sectPr w:rsidR="00ED51C2" w:rsidRPr="00230242" w:rsidSect="00BE149E">
      <w:headerReference w:type="default" r:id="rId20"/>
      <w:pgSz w:w="11906" w:h="16838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B2" w:rsidRDefault="00312EB2" w:rsidP="000A2A03">
      <w:pPr>
        <w:spacing w:line="240" w:lineRule="auto"/>
      </w:pPr>
      <w:r>
        <w:separator/>
      </w:r>
    </w:p>
  </w:endnote>
  <w:endnote w:type="continuationSeparator" w:id="0">
    <w:p w:rsidR="00312EB2" w:rsidRDefault="00312EB2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B2" w:rsidRDefault="00312EB2" w:rsidP="000A2A03">
      <w:pPr>
        <w:spacing w:line="240" w:lineRule="auto"/>
      </w:pPr>
      <w:r>
        <w:separator/>
      </w:r>
    </w:p>
  </w:footnote>
  <w:footnote w:type="continuationSeparator" w:id="0">
    <w:p w:rsidR="00312EB2" w:rsidRDefault="00312EB2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55592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2" name="dnb_public" descr="R:\Projecten\372_TID_DNB_DIRECT\Develop\png_classificatie\pos\DNB_cl1_public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3" name="dnb_unrestricted" descr="R:\Projecten\372_TID_DNB_DIRECT\Develop\png_classificatie\pos\DNB_cl2_unrestricted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4" name="dnb_restricted" descr="R:\Projecten\372_TID_DNB_DIRECT\Develop\png_classificatie\pos\DNB_cl3_restricted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5" name="dnb_confidential" descr="R:\Projecten\372_TID_DNB_DIRECT\Develop\png_classificatie\pos\DNB_cl4_confidential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6390"/>
          <wp:effectExtent l="0" t="0" r="0" b="0"/>
          <wp:wrapNone/>
          <wp:docPr id="6" name="dnb_secret" descr="R:\Projecten\372_TID_DNB_DIRECT\Develop\png_classificatie\pos\DNB_cl5_secret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C09"/>
    <w:multiLevelType w:val="multilevel"/>
    <w:tmpl w:val="11D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E6B7233"/>
    <w:multiLevelType w:val="multilevel"/>
    <w:tmpl w:val="D34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F7"/>
    <w:rsid w:val="00064BD2"/>
    <w:rsid w:val="000A2A03"/>
    <w:rsid w:val="000D36F9"/>
    <w:rsid w:val="000E543C"/>
    <w:rsid w:val="00102AE8"/>
    <w:rsid w:val="00143D02"/>
    <w:rsid w:val="001B6FB1"/>
    <w:rsid w:val="00230242"/>
    <w:rsid w:val="00276CD5"/>
    <w:rsid w:val="00282E10"/>
    <w:rsid w:val="0028552B"/>
    <w:rsid w:val="002B619C"/>
    <w:rsid w:val="00312EB2"/>
    <w:rsid w:val="003252FB"/>
    <w:rsid w:val="00334822"/>
    <w:rsid w:val="003F6E85"/>
    <w:rsid w:val="00432C07"/>
    <w:rsid w:val="00453D32"/>
    <w:rsid w:val="00490378"/>
    <w:rsid w:val="004B3794"/>
    <w:rsid w:val="004E4835"/>
    <w:rsid w:val="004F785D"/>
    <w:rsid w:val="0051444B"/>
    <w:rsid w:val="00535054"/>
    <w:rsid w:val="00537346"/>
    <w:rsid w:val="00555924"/>
    <w:rsid w:val="00556BF1"/>
    <w:rsid w:val="005A4644"/>
    <w:rsid w:val="005C0F2E"/>
    <w:rsid w:val="006141CC"/>
    <w:rsid w:val="00624786"/>
    <w:rsid w:val="00625831"/>
    <w:rsid w:val="00700C4B"/>
    <w:rsid w:val="00713BE2"/>
    <w:rsid w:val="007513D3"/>
    <w:rsid w:val="00777F98"/>
    <w:rsid w:val="007B659D"/>
    <w:rsid w:val="00894EF7"/>
    <w:rsid w:val="009147BF"/>
    <w:rsid w:val="009B5D9A"/>
    <w:rsid w:val="009E3D1F"/>
    <w:rsid w:val="00A14848"/>
    <w:rsid w:val="00A43539"/>
    <w:rsid w:val="00A71696"/>
    <w:rsid w:val="00A72B58"/>
    <w:rsid w:val="00AD6D26"/>
    <w:rsid w:val="00AE4836"/>
    <w:rsid w:val="00B224FD"/>
    <w:rsid w:val="00B2513D"/>
    <w:rsid w:val="00BE149E"/>
    <w:rsid w:val="00C071BA"/>
    <w:rsid w:val="00C31C05"/>
    <w:rsid w:val="00C82654"/>
    <w:rsid w:val="00C93A75"/>
    <w:rsid w:val="00CA45F8"/>
    <w:rsid w:val="00CD277C"/>
    <w:rsid w:val="00D27A58"/>
    <w:rsid w:val="00D448F8"/>
    <w:rsid w:val="00E05E36"/>
    <w:rsid w:val="00E7266F"/>
    <w:rsid w:val="00E81517"/>
    <w:rsid w:val="00ED1905"/>
    <w:rsid w:val="00ED51C2"/>
    <w:rsid w:val="00EE238F"/>
    <w:rsid w:val="00F17945"/>
    <w:rsid w:val="00F6785E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999A5-96F1-493B-AA75-8109FDA1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39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4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47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074A8B"/>
                                        <w:left w:val="dashed" w:sz="2" w:space="0" w:color="074A8B"/>
                                        <w:bottom w:val="dashed" w:sz="6" w:space="14" w:color="074A8B"/>
                                        <w:right w:val="dashed" w:sz="2" w:space="0" w:color="074A8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29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07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inance/payments/framework/index_en.htm" TargetMode="External"/><Relationship Id="rId13" Type="http://schemas.openxmlformats.org/officeDocument/2006/relationships/hyperlink" Target="https://www.ecb.europa.eu/paym/pol/html/index.en.html" TargetMode="External"/><Relationship Id="rId18" Type="http://schemas.openxmlformats.org/officeDocument/2006/relationships/hyperlink" Target="http://ec.europa.eu/finance/general-policy/banking-union/index_en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.europa.eu/finance/bank/regcapital/index_en.htm" TargetMode="External"/><Relationship Id="rId17" Type="http://schemas.openxmlformats.org/officeDocument/2006/relationships/hyperlink" Target="https://eiopa.europa.eu/hom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ma.europa.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a.europa.eu/regulation-and-policy/payment-services-and-electronic-money/regulatory-technical-standards-on-strong-customer-authentication-and-secure-communication-under-psd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a.europa.eu/" TargetMode="External"/><Relationship Id="rId10" Type="http://schemas.openxmlformats.org/officeDocument/2006/relationships/hyperlink" Target="https://www.ecb.europa.eu/home/search/html/index.en.html?q=retail+payment+systems" TargetMode="External"/><Relationship Id="rId19" Type="http://schemas.openxmlformats.org/officeDocument/2006/relationships/hyperlink" Target="https://www.bankingsupervision.europa.eu/organisation/nationalsupervisors/html/index.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a.europa.eu/regulation-and-policy/anti-money-laundering-and-e-money" TargetMode="External"/><Relationship Id="rId14" Type="http://schemas.openxmlformats.org/officeDocument/2006/relationships/hyperlink" Target="http://ec.europa.eu/finance/financial-markets/derivatives/index_en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9E17-01EB-4093-8154-700B177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Nederlandsche Bank N.V.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Spaanderman, J.J. (Jurgen) (BVU_MIB)</dc:creator>
  <cp:keywords/>
  <dc:description/>
  <cp:lastModifiedBy>Spaanderman, J.J. (Jurgen) (BVU_MIB)</cp:lastModifiedBy>
  <cp:revision>16</cp:revision>
  <dcterms:created xsi:type="dcterms:W3CDTF">2017-01-12T10:41:00Z</dcterms:created>
  <dcterms:modified xsi:type="dcterms:W3CDTF">2017-01-12T11:39:00Z</dcterms:modified>
</cp:coreProperties>
</file>