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C4E2A" w14:textId="77777777" w:rsidR="00056AEE" w:rsidRDefault="00056AEE">
      <w:pPr>
        <w:pStyle w:val="CoverWP"/>
      </w:pPr>
    </w:p>
    <w:p w14:paraId="1BBF5A22" w14:textId="77777777" w:rsidR="00056AEE" w:rsidRDefault="00A00CB7">
      <w:pPr>
        <w:pStyle w:val="CoverWP"/>
      </w:pPr>
      <w:r>
        <w:t>EN</w:t>
      </w:r>
    </w:p>
    <w:p w14:paraId="16F178A9" w14:textId="77777777" w:rsidR="00056AEE" w:rsidRDefault="00A00CB7">
      <w:pPr>
        <w:pStyle w:val="CoverWP"/>
      </w:pPr>
      <w:r>
        <w:t>Annex III</w:t>
      </w:r>
    </w:p>
    <w:p w14:paraId="48AEB41D" w14:textId="77777777" w:rsidR="00056AEE" w:rsidRDefault="00A00CB7">
      <w:pPr>
        <w:pStyle w:val="CoverWP"/>
      </w:pPr>
      <w:r>
        <w:t>Horizon Europe</w:t>
      </w:r>
    </w:p>
    <w:p w14:paraId="71408E04" w14:textId="77777777" w:rsidR="00056AEE" w:rsidRDefault="00A00CB7">
      <w:pPr>
        <w:pStyle w:val="CoverWP"/>
      </w:pPr>
      <w:r>
        <w:t>Work Programme 2025</w:t>
      </w:r>
    </w:p>
    <w:p w14:paraId="549530EE" w14:textId="77777777" w:rsidR="00056AEE" w:rsidRDefault="00A00CB7">
      <w:pPr>
        <w:pStyle w:val="CoverTitle"/>
      </w:pPr>
      <w:r>
        <w:t>4.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056AEE" w14:paraId="69DBBD7A" w14:textId="77777777">
        <w:tc>
          <w:tcPr>
            <w:tcW w:w="8500" w:type="dxa"/>
          </w:tcPr>
          <w:p w14:paraId="7A82EF80" w14:textId="77777777" w:rsidR="00056AEE" w:rsidRDefault="00A00CB7">
            <w:pPr>
              <w:pStyle w:val="NoticeTitle"/>
            </w:pPr>
            <w:r>
              <w:rPr>
                <w:b w:val="0"/>
                <w:color w:val="000000"/>
              </w:rPr>
              <w:t>DISCLAIMER</w:t>
            </w:r>
          </w:p>
          <w:p w14:paraId="0C2B07ED" w14:textId="77777777" w:rsidR="00056AEE" w:rsidRDefault="00A00CB7">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2E00DBDF" w14:textId="77777777" w:rsidR="00056AEE" w:rsidRDefault="00056AEE">
      <w:pPr>
        <w:pStyle w:val="CoverDecision"/>
      </w:pPr>
    </w:p>
    <w:p w14:paraId="71FFB8B9"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7A5E92AE" w14:textId="77777777" w:rsidR="0075539F" w:rsidRDefault="0075539F">
          <w:pPr>
            <w:pStyle w:val="En-ttedetabledesmatires"/>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192E189F" w14:textId="77777777" w:rsidR="00112F79" w:rsidRDefault="00112F79">
          <w:pPr>
            <w:pStyle w:val="En-ttedetabledesmatires"/>
          </w:pPr>
          <w:r>
            <w:lastRenderedPageBreak/>
            <w:t xml:space="preserve">Table of </w:t>
          </w:r>
          <w:r w:rsidR="0027193B">
            <w:t>c</w:t>
          </w:r>
          <w:r>
            <w:t>ontents</w:t>
          </w:r>
        </w:p>
        <w:p w14:paraId="4D1041BE" w14:textId="515BA04C" w:rsidR="003A38F8" w:rsidRDefault="00A00CB7">
          <w:pPr>
            <w:pStyle w:val="TM1"/>
            <w:tabs>
              <w:tab w:val="right" w:leader="dot" w:pos="9062"/>
            </w:tabs>
            <w:rPr>
              <w:rFonts w:asciiTheme="minorHAnsi" w:hAnsiTheme="minorHAnsi"/>
              <w:b w:val="0"/>
              <w:bCs w:val="0"/>
              <w:kern w:val="2"/>
              <w:sz w:val="22"/>
              <w:szCs w:val="22"/>
              <w:lang w:val="en-IE" w:eastAsia="en-IE"/>
              <w14:ligatures w14:val="standardContextual"/>
            </w:rPr>
          </w:pPr>
          <w:r>
            <w:fldChar w:fldCharType="begin"/>
          </w:r>
          <w:r>
            <w:instrText xml:space="preserve"> TOC \o "1-3" \h \z \u </w:instrText>
          </w:r>
          <w:r>
            <w:fldChar w:fldCharType="separate"/>
          </w:r>
          <w:hyperlink w:anchor="_Toc171689847" w:history="1">
            <w:r w:rsidR="003A38F8" w:rsidRPr="00A072C9">
              <w:rPr>
                <w:rStyle w:val="Lienhypertexte"/>
              </w:rPr>
              <w:t>Introduction</w:t>
            </w:r>
            <w:r w:rsidR="003A38F8">
              <w:rPr>
                <w:webHidden/>
              </w:rPr>
              <w:tab/>
            </w:r>
            <w:r w:rsidR="003A38F8">
              <w:rPr>
                <w:webHidden/>
              </w:rPr>
              <w:fldChar w:fldCharType="begin"/>
            </w:r>
            <w:r w:rsidR="003A38F8">
              <w:rPr>
                <w:webHidden/>
              </w:rPr>
              <w:instrText xml:space="preserve"> PAGEREF _Toc171689847 \h </w:instrText>
            </w:r>
            <w:r w:rsidR="003A38F8">
              <w:rPr>
                <w:webHidden/>
              </w:rPr>
            </w:r>
            <w:r w:rsidR="003A38F8">
              <w:rPr>
                <w:webHidden/>
              </w:rPr>
              <w:fldChar w:fldCharType="separate"/>
            </w:r>
            <w:r w:rsidR="003A38F8">
              <w:rPr>
                <w:webHidden/>
              </w:rPr>
              <w:t>4</w:t>
            </w:r>
            <w:r w:rsidR="003A38F8">
              <w:rPr>
                <w:webHidden/>
              </w:rPr>
              <w:fldChar w:fldCharType="end"/>
            </w:r>
          </w:hyperlink>
        </w:p>
        <w:p w14:paraId="03B6FC28" w14:textId="5189397E" w:rsidR="003A38F8" w:rsidRDefault="00000000">
          <w:pPr>
            <w:pStyle w:val="TM1"/>
            <w:tabs>
              <w:tab w:val="right" w:leader="dot" w:pos="9062"/>
            </w:tabs>
            <w:rPr>
              <w:rFonts w:asciiTheme="minorHAnsi" w:hAnsiTheme="minorHAnsi"/>
              <w:b w:val="0"/>
              <w:bCs w:val="0"/>
              <w:kern w:val="2"/>
              <w:sz w:val="22"/>
              <w:szCs w:val="22"/>
              <w:lang w:val="en-IE" w:eastAsia="en-IE"/>
              <w14:ligatures w14:val="standardContextual"/>
            </w:rPr>
          </w:pPr>
          <w:hyperlink w:anchor="_Toc171689848" w:history="1">
            <w:r w:rsidR="003A38F8" w:rsidRPr="00A072C9">
              <w:rPr>
                <w:rStyle w:val="Lienhypertexte"/>
              </w:rPr>
              <w:t>Calls</w:t>
            </w:r>
            <w:r w:rsidR="003A38F8">
              <w:rPr>
                <w:webHidden/>
              </w:rPr>
              <w:tab/>
            </w:r>
            <w:r w:rsidR="003A38F8">
              <w:rPr>
                <w:webHidden/>
              </w:rPr>
              <w:fldChar w:fldCharType="begin"/>
            </w:r>
            <w:r w:rsidR="003A38F8">
              <w:rPr>
                <w:webHidden/>
              </w:rPr>
              <w:instrText xml:space="preserve"> PAGEREF _Toc171689848 \h </w:instrText>
            </w:r>
            <w:r w:rsidR="003A38F8">
              <w:rPr>
                <w:webHidden/>
              </w:rPr>
            </w:r>
            <w:r w:rsidR="003A38F8">
              <w:rPr>
                <w:webHidden/>
              </w:rPr>
              <w:fldChar w:fldCharType="separate"/>
            </w:r>
            <w:r w:rsidR="003A38F8">
              <w:rPr>
                <w:webHidden/>
              </w:rPr>
              <w:t>10</w:t>
            </w:r>
            <w:r w:rsidR="003A38F8">
              <w:rPr>
                <w:webHidden/>
              </w:rPr>
              <w:fldChar w:fldCharType="end"/>
            </w:r>
          </w:hyperlink>
        </w:p>
        <w:p w14:paraId="1DF42DC0" w14:textId="4458D58B"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49" w:history="1">
            <w:r w:rsidR="003A38F8" w:rsidRPr="00A072C9">
              <w:rPr>
                <w:rStyle w:val="Lienhypertexte"/>
                <w:noProof/>
              </w:rPr>
              <w:t>Call - Cluster 1 - Health (Single stage - 2025)</w:t>
            </w:r>
            <w:r w:rsidR="003A38F8">
              <w:rPr>
                <w:noProof/>
                <w:webHidden/>
              </w:rPr>
              <w:tab/>
            </w:r>
            <w:r w:rsidR="003A38F8">
              <w:rPr>
                <w:noProof/>
                <w:webHidden/>
              </w:rPr>
              <w:fldChar w:fldCharType="begin"/>
            </w:r>
            <w:r w:rsidR="003A38F8">
              <w:rPr>
                <w:noProof/>
                <w:webHidden/>
              </w:rPr>
              <w:instrText xml:space="preserve"> PAGEREF _Toc171689849 \h </w:instrText>
            </w:r>
            <w:r w:rsidR="003A38F8">
              <w:rPr>
                <w:noProof/>
                <w:webHidden/>
              </w:rPr>
            </w:r>
            <w:r w:rsidR="003A38F8">
              <w:rPr>
                <w:noProof/>
                <w:webHidden/>
              </w:rPr>
              <w:fldChar w:fldCharType="separate"/>
            </w:r>
            <w:r w:rsidR="003A38F8">
              <w:rPr>
                <w:noProof/>
                <w:webHidden/>
              </w:rPr>
              <w:t>10</w:t>
            </w:r>
            <w:r w:rsidR="003A38F8">
              <w:rPr>
                <w:noProof/>
                <w:webHidden/>
              </w:rPr>
              <w:fldChar w:fldCharType="end"/>
            </w:r>
          </w:hyperlink>
        </w:p>
        <w:p w14:paraId="3B8BE076" w14:textId="4F054E63"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50" w:history="1">
            <w:r w:rsidR="003A38F8" w:rsidRPr="00A072C9">
              <w:rPr>
                <w:rStyle w:val="Lienhypertexte"/>
                <w:noProof/>
              </w:rPr>
              <w:t>Overview of this call</w:t>
            </w:r>
            <w:r w:rsidR="003A38F8">
              <w:rPr>
                <w:noProof/>
                <w:webHidden/>
              </w:rPr>
              <w:tab/>
            </w:r>
            <w:r w:rsidR="003A38F8">
              <w:rPr>
                <w:noProof/>
                <w:webHidden/>
              </w:rPr>
              <w:fldChar w:fldCharType="begin"/>
            </w:r>
            <w:r w:rsidR="003A38F8">
              <w:rPr>
                <w:noProof/>
                <w:webHidden/>
              </w:rPr>
              <w:instrText xml:space="preserve"> PAGEREF _Toc171689850 \h </w:instrText>
            </w:r>
            <w:r w:rsidR="003A38F8">
              <w:rPr>
                <w:noProof/>
                <w:webHidden/>
              </w:rPr>
            </w:r>
            <w:r w:rsidR="003A38F8">
              <w:rPr>
                <w:noProof/>
                <w:webHidden/>
              </w:rPr>
              <w:fldChar w:fldCharType="separate"/>
            </w:r>
            <w:r w:rsidR="003A38F8">
              <w:rPr>
                <w:noProof/>
                <w:webHidden/>
              </w:rPr>
              <w:t>10</w:t>
            </w:r>
            <w:r w:rsidR="003A38F8">
              <w:rPr>
                <w:noProof/>
                <w:webHidden/>
              </w:rPr>
              <w:fldChar w:fldCharType="end"/>
            </w:r>
          </w:hyperlink>
        </w:p>
        <w:p w14:paraId="002EF42D" w14:textId="364B697D"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51" w:history="1">
            <w:r w:rsidR="003A38F8" w:rsidRPr="00A072C9">
              <w:rPr>
                <w:rStyle w:val="Lienhypertexte"/>
                <w:noProof/>
              </w:rPr>
              <w:t>Call - Partnerships in Health - European Partnership for Brain Health (2025)</w:t>
            </w:r>
            <w:r w:rsidR="003A38F8">
              <w:rPr>
                <w:noProof/>
                <w:webHidden/>
              </w:rPr>
              <w:tab/>
            </w:r>
            <w:r w:rsidR="003A38F8">
              <w:rPr>
                <w:noProof/>
                <w:webHidden/>
              </w:rPr>
              <w:fldChar w:fldCharType="begin"/>
            </w:r>
            <w:r w:rsidR="003A38F8">
              <w:rPr>
                <w:noProof/>
                <w:webHidden/>
              </w:rPr>
              <w:instrText xml:space="preserve"> PAGEREF _Toc171689851 \h </w:instrText>
            </w:r>
            <w:r w:rsidR="003A38F8">
              <w:rPr>
                <w:noProof/>
                <w:webHidden/>
              </w:rPr>
            </w:r>
            <w:r w:rsidR="003A38F8">
              <w:rPr>
                <w:noProof/>
                <w:webHidden/>
              </w:rPr>
              <w:fldChar w:fldCharType="separate"/>
            </w:r>
            <w:r w:rsidR="003A38F8">
              <w:rPr>
                <w:noProof/>
                <w:webHidden/>
              </w:rPr>
              <w:t>13</w:t>
            </w:r>
            <w:r w:rsidR="003A38F8">
              <w:rPr>
                <w:noProof/>
                <w:webHidden/>
              </w:rPr>
              <w:fldChar w:fldCharType="end"/>
            </w:r>
          </w:hyperlink>
        </w:p>
        <w:p w14:paraId="245A05A4" w14:textId="473ECB74"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52" w:history="1">
            <w:r w:rsidR="003A38F8" w:rsidRPr="00A072C9">
              <w:rPr>
                <w:rStyle w:val="Lienhypertexte"/>
                <w:noProof/>
              </w:rPr>
              <w:t>Overview of this call</w:t>
            </w:r>
            <w:r w:rsidR="003A38F8">
              <w:rPr>
                <w:noProof/>
                <w:webHidden/>
              </w:rPr>
              <w:tab/>
            </w:r>
            <w:r w:rsidR="003A38F8">
              <w:rPr>
                <w:noProof/>
                <w:webHidden/>
              </w:rPr>
              <w:fldChar w:fldCharType="begin"/>
            </w:r>
            <w:r w:rsidR="003A38F8">
              <w:rPr>
                <w:noProof/>
                <w:webHidden/>
              </w:rPr>
              <w:instrText xml:space="preserve"> PAGEREF _Toc171689852 \h </w:instrText>
            </w:r>
            <w:r w:rsidR="003A38F8">
              <w:rPr>
                <w:noProof/>
                <w:webHidden/>
              </w:rPr>
            </w:r>
            <w:r w:rsidR="003A38F8">
              <w:rPr>
                <w:noProof/>
                <w:webHidden/>
              </w:rPr>
              <w:fldChar w:fldCharType="separate"/>
            </w:r>
            <w:r w:rsidR="003A38F8">
              <w:rPr>
                <w:noProof/>
                <w:webHidden/>
              </w:rPr>
              <w:t>13</w:t>
            </w:r>
            <w:r w:rsidR="003A38F8">
              <w:rPr>
                <w:noProof/>
                <w:webHidden/>
              </w:rPr>
              <w:fldChar w:fldCharType="end"/>
            </w:r>
          </w:hyperlink>
        </w:p>
        <w:p w14:paraId="2C972D43" w14:textId="232E998A"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53" w:history="1">
            <w:r w:rsidR="003A38F8" w:rsidRPr="00A072C9">
              <w:rPr>
                <w:rStyle w:val="Lienhypertexte"/>
                <w:noProof/>
              </w:rPr>
              <w:t>Call - Partnerships in Health - European partnership fostering a European Research Area (ERA) for health research (2025)</w:t>
            </w:r>
            <w:r w:rsidR="003A38F8">
              <w:rPr>
                <w:noProof/>
                <w:webHidden/>
              </w:rPr>
              <w:tab/>
            </w:r>
            <w:r w:rsidR="003A38F8">
              <w:rPr>
                <w:noProof/>
                <w:webHidden/>
              </w:rPr>
              <w:fldChar w:fldCharType="begin"/>
            </w:r>
            <w:r w:rsidR="003A38F8">
              <w:rPr>
                <w:noProof/>
                <w:webHidden/>
              </w:rPr>
              <w:instrText xml:space="preserve"> PAGEREF _Toc171689853 \h </w:instrText>
            </w:r>
            <w:r w:rsidR="003A38F8">
              <w:rPr>
                <w:noProof/>
                <w:webHidden/>
              </w:rPr>
            </w:r>
            <w:r w:rsidR="003A38F8">
              <w:rPr>
                <w:noProof/>
                <w:webHidden/>
              </w:rPr>
              <w:fldChar w:fldCharType="separate"/>
            </w:r>
            <w:r w:rsidR="003A38F8">
              <w:rPr>
                <w:noProof/>
                <w:webHidden/>
              </w:rPr>
              <w:t>14</w:t>
            </w:r>
            <w:r w:rsidR="003A38F8">
              <w:rPr>
                <w:noProof/>
                <w:webHidden/>
              </w:rPr>
              <w:fldChar w:fldCharType="end"/>
            </w:r>
          </w:hyperlink>
        </w:p>
        <w:p w14:paraId="3EB02C8C" w14:textId="09293549"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54" w:history="1">
            <w:r w:rsidR="003A38F8" w:rsidRPr="00A072C9">
              <w:rPr>
                <w:rStyle w:val="Lienhypertexte"/>
                <w:noProof/>
              </w:rPr>
              <w:t>Overview of this call</w:t>
            </w:r>
            <w:r w:rsidR="003A38F8">
              <w:rPr>
                <w:noProof/>
                <w:webHidden/>
              </w:rPr>
              <w:tab/>
            </w:r>
            <w:r w:rsidR="003A38F8">
              <w:rPr>
                <w:noProof/>
                <w:webHidden/>
              </w:rPr>
              <w:fldChar w:fldCharType="begin"/>
            </w:r>
            <w:r w:rsidR="003A38F8">
              <w:rPr>
                <w:noProof/>
                <w:webHidden/>
              </w:rPr>
              <w:instrText xml:space="preserve"> PAGEREF _Toc171689854 \h </w:instrText>
            </w:r>
            <w:r w:rsidR="003A38F8">
              <w:rPr>
                <w:noProof/>
                <w:webHidden/>
              </w:rPr>
            </w:r>
            <w:r w:rsidR="003A38F8">
              <w:rPr>
                <w:noProof/>
                <w:webHidden/>
              </w:rPr>
              <w:fldChar w:fldCharType="separate"/>
            </w:r>
            <w:r w:rsidR="003A38F8">
              <w:rPr>
                <w:noProof/>
                <w:webHidden/>
              </w:rPr>
              <w:t>14</w:t>
            </w:r>
            <w:r w:rsidR="003A38F8">
              <w:rPr>
                <w:noProof/>
                <w:webHidden/>
              </w:rPr>
              <w:fldChar w:fldCharType="end"/>
            </w:r>
          </w:hyperlink>
        </w:p>
        <w:p w14:paraId="07A9BC19" w14:textId="1B6DCAA7" w:rsidR="003A38F8" w:rsidRDefault="00000000">
          <w:pPr>
            <w:pStyle w:val="TM1"/>
            <w:tabs>
              <w:tab w:val="right" w:leader="dot" w:pos="9062"/>
            </w:tabs>
            <w:rPr>
              <w:rFonts w:asciiTheme="minorHAnsi" w:hAnsiTheme="minorHAnsi"/>
              <w:b w:val="0"/>
              <w:bCs w:val="0"/>
              <w:kern w:val="2"/>
              <w:sz w:val="22"/>
              <w:szCs w:val="22"/>
              <w:lang w:val="en-IE" w:eastAsia="en-IE"/>
              <w14:ligatures w14:val="standardContextual"/>
            </w:rPr>
          </w:pPr>
          <w:hyperlink w:anchor="_Toc171689855" w:history="1">
            <w:r w:rsidR="003A38F8" w:rsidRPr="00A072C9">
              <w:rPr>
                <w:rStyle w:val="Lienhypertexte"/>
              </w:rPr>
              <w:t>Destinations</w:t>
            </w:r>
            <w:r w:rsidR="003A38F8">
              <w:rPr>
                <w:webHidden/>
              </w:rPr>
              <w:tab/>
            </w:r>
            <w:r w:rsidR="003A38F8">
              <w:rPr>
                <w:webHidden/>
              </w:rPr>
              <w:fldChar w:fldCharType="begin"/>
            </w:r>
            <w:r w:rsidR="003A38F8">
              <w:rPr>
                <w:webHidden/>
              </w:rPr>
              <w:instrText xml:space="preserve"> PAGEREF _Toc171689855 \h </w:instrText>
            </w:r>
            <w:r w:rsidR="003A38F8">
              <w:rPr>
                <w:webHidden/>
              </w:rPr>
            </w:r>
            <w:r w:rsidR="003A38F8">
              <w:rPr>
                <w:webHidden/>
              </w:rPr>
              <w:fldChar w:fldCharType="separate"/>
            </w:r>
            <w:r w:rsidR="003A38F8">
              <w:rPr>
                <w:webHidden/>
              </w:rPr>
              <w:t>16</w:t>
            </w:r>
            <w:r w:rsidR="003A38F8">
              <w:rPr>
                <w:webHidden/>
              </w:rPr>
              <w:fldChar w:fldCharType="end"/>
            </w:r>
          </w:hyperlink>
        </w:p>
        <w:p w14:paraId="15A1B844" w14:textId="761E8AB0"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56" w:history="1">
            <w:r w:rsidR="003A38F8" w:rsidRPr="00A072C9">
              <w:rPr>
                <w:rStyle w:val="Lienhypertexte"/>
                <w:noProof/>
              </w:rPr>
              <w:t>Destination - Staying healthy in a rapidly changing society</w:t>
            </w:r>
            <w:r w:rsidR="003A38F8">
              <w:rPr>
                <w:noProof/>
                <w:webHidden/>
              </w:rPr>
              <w:tab/>
            </w:r>
            <w:r w:rsidR="003A38F8">
              <w:rPr>
                <w:noProof/>
                <w:webHidden/>
              </w:rPr>
              <w:fldChar w:fldCharType="begin"/>
            </w:r>
            <w:r w:rsidR="003A38F8">
              <w:rPr>
                <w:noProof/>
                <w:webHidden/>
              </w:rPr>
              <w:instrText xml:space="preserve"> PAGEREF _Toc171689856 \h </w:instrText>
            </w:r>
            <w:r w:rsidR="003A38F8">
              <w:rPr>
                <w:noProof/>
                <w:webHidden/>
              </w:rPr>
            </w:r>
            <w:r w:rsidR="003A38F8">
              <w:rPr>
                <w:noProof/>
                <w:webHidden/>
              </w:rPr>
              <w:fldChar w:fldCharType="separate"/>
            </w:r>
            <w:r w:rsidR="003A38F8">
              <w:rPr>
                <w:noProof/>
                <w:webHidden/>
              </w:rPr>
              <w:t>16</w:t>
            </w:r>
            <w:r w:rsidR="003A38F8">
              <w:rPr>
                <w:noProof/>
                <w:webHidden/>
              </w:rPr>
              <w:fldChar w:fldCharType="end"/>
            </w:r>
          </w:hyperlink>
        </w:p>
        <w:p w14:paraId="7826D07B" w14:textId="10C2F4CD"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57" w:history="1">
            <w:r w:rsidR="003A38F8" w:rsidRPr="00A072C9">
              <w:rPr>
                <w:rStyle w:val="Lienhypertexte"/>
                <w:noProof/>
              </w:rPr>
              <w:t>HORIZON-HLTH-2025-01-STAYHLTH-01: Improving the quality of life of persons with intellectual disabilities and their families</w:t>
            </w:r>
            <w:r w:rsidR="003A38F8">
              <w:rPr>
                <w:noProof/>
                <w:webHidden/>
              </w:rPr>
              <w:tab/>
            </w:r>
            <w:r w:rsidR="003A38F8">
              <w:rPr>
                <w:noProof/>
                <w:webHidden/>
              </w:rPr>
              <w:fldChar w:fldCharType="begin"/>
            </w:r>
            <w:r w:rsidR="003A38F8">
              <w:rPr>
                <w:noProof/>
                <w:webHidden/>
              </w:rPr>
              <w:instrText xml:space="preserve"> PAGEREF _Toc171689857 \h </w:instrText>
            </w:r>
            <w:r w:rsidR="003A38F8">
              <w:rPr>
                <w:noProof/>
                <w:webHidden/>
              </w:rPr>
            </w:r>
            <w:r w:rsidR="003A38F8">
              <w:rPr>
                <w:noProof/>
                <w:webHidden/>
              </w:rPr>
              <w:fldChar w:fldCharType="separate"/>
            </w:r>
            <w:r w:rsidR="003A38F8">
              <w:rPr>
                <w:noProof/>
                <w:webHidden/>
              </w:rPr>
              <w:t>18</w:t>
            </w:r>
            <w:r w:rsidR="003A38F8">
              <w:rPr>
                <w:noProof/>
                <w:webHidden/>
              </w:rPr>
              <w:fldChar w:fldCharType="end"/>
            </w:r>
          </w:hyperlink>
        </w:p>
        <w:p w14:paraId="0418FF57" w14:textId="3D8CB18A"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58" w:history="1">
            <w:r w:rsidR="003A38F8" w:rsidRPr="00A072C9">
              <w:rPr>
                <w:rStyle w:val="Lienhypertexte"/>
                <w:noProof/>
              </w:rPr>
              <w:t>Destination - Living and working in a health-promoting environment</w:t>
            </w:r>
            <w:r w:rsidR="003A38F8">
              <w:rPr>
                <w:noProof/>
                <w:webHidden/>
              </w:rPr>
              <w:tab/>
            </w:r>
            <w:r w:rsidR="003A38F8">
              <w:rPr>
                <w:noProof/>
                <w:webHidden/>
              </w:rPr>
              <w:fldChar w:fldCharType="begin"/>
            </w:r>
            <w:r w:rsidR="003A38F8">
              <w:rPr>
                <w:noProof/>
                <w:webHidden/>
              </w:rPr>
              <w:instrText xml:space="preserve"> PAGEREF _Toc171689858 \h </w:instrText>
            </w:r>
            <w:r w:rsidR="003A38F8">
              <w:rPr>
                <w:noProof/>
                <w:webHidden/>
              </w:rPr>
            </w:r>
            <w:r w:rsidR="003A38F8">
              <w:rPr>
                <w:noProof/>
                <w:webHidden/>
              </w:rPr>
              <w:fldChar w:fldCharType="separate"/>
            </w:r>
            <w:r w:rsidR="003A38F8">
              <w:rPr>
                <w:noProof/>
                <w:webHidden/>
              </w:rPr>
              <w:t>22</w:t>
            </w:r>
            <w:r w:rsidR="003A38F8">
              <w:rPr>
                <w:noProof/>
                <w:webHidden/>
              </w:rPr>
              <w:fldChar w:fldCharType="end"/>
            </w:r>
          </w:hyperlink>
        </w:p>
        <w:p w14:paraId="4E085B6F" w14:textId="6A865BB4"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59" w:history="1">
            <w:r w:rsidR="003A38F8" w:rsidRPr="00A072C9">
              <w:rPr>
                <w:rStyle w:val="Lienhypertexte"/>
                <w:noProof/>
              </w:rPr>
              <w:t>HORIZON-HLTH-2025-01-ENVHLTH-01: The impact of pollution on the development and progression of brain diseases and disorders</w:t>
            </w:r>
            <w:r w:rsidR="003A38F8">
              <w:rPr>
                <w:noProof/>
                <w:webHidden/>
              </w:rPr>
              <w:tab/>
            </w:r>
            <w:r w:rsidR="003A38F8">
              <w:rPr>
                <w:noProof/>
                <w:webHidden/>
              </w:rPr>
              <w:fldChar w:fldCharType="begin"/>
            </w:r>
            <w:r w:rsidR="003A38F8">
              <w:rPr>
                <w:noProof/>
                <w:webHidden/>
              </w:rPr>
              <w:instrText xml:space="preserve"> PAGEREF _Toc171689859 \h </w:instrText>
            </w:r>
            <w:r w:rsidR="003A38F8">
              <w:rPr>
                <w:noProof/>
                <w:webHidden/>
              </w:rPr>
            </w:r>
            <w:r w:rsidR="003A38F8">
              <w:rPr>
                <w:noProof/>
                <w:webHidden/>
              </w:rPr>
              <w:fldChar w:fldCharType="separate"/>
            </w:r>
            <w:r w:rsidR="003A38F8">
              <w:rPr>
                <w:noProof/>
                <w:webHidden/>
              </w:rPr>
              <w:t>24</w:t>
            </w:r>
            <w:r w:rsidR="003A38F8">
              <w:rPr>
                <w:noProof/>
                <w:webHidden/>
              </w:rPr>
              <w:fldChar w:fldCharType="end"/>
            </w:r>
          </w:hyperlink>
        </w:p>
        <w:p w14:paraId="31A89F52" w14:textId="2DDA32CE"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0" w:history="1">
            <w:r w:rsidR="003A38F8" w:rsidRPr="00A072C9">
              <w:rPr>
                <w:rStyle w:val="Lienhypertexte"/>
                <w:noProof/>
              </w:rPr>
              <w:t>HORIZON-HLTH-2025-01-ENVHLTH-02: Advancing knowledge on the impacts of micro- and nanoplastics on human health</w:t>
            </w:r>
            <w:r w:rsidR="003A38F8">
              <w:rPr>
                <w:noProof/>
                <w:webHidden/>
              </w:rPr>
              <w:tab/>
            </w:r>
            <w:r w:rsidR="003A38F8">
              <w:rPr>
                <w:noProof/>
                <w:webHidden/>
              </w:rPr>
              <w:fldChar w:fldCharType="begin"/>
            </w:r>
            <w:r w:rsidR="003A38F8">
              <w:rPr>
                <w:noProof/>
                <w:webHidden/>
              </w:rPr>
              <w:instrText xml:space="preserve"> PAGEREF _Toc171689860 \h </w:instrText>
            </w:r>
            <w:r w:rsidR="003A38F8">
              <w:rPr>
                <w:noProof/>
                <w:webHidden/>
              </w:rPr>
            </w:r>
            <w:r w:rsidR="003A38F8">
              <w:rPr>
                <w:noProof/>
                <w:webHidden/>
              </w:rPr>
              <w:fldChar w:fldCharType="separate"/>
            </w:r>
            <w:r w:rsidR="003A38F8">
              <w:rPr>
                <w:noProof/>
                <w:webHidden/>
              </w:rPr>
              <w:t>29</w:t>
            </w:r>
            <w:r w:rsidR="003A38F8">
              <w:rPr>
                <w:noProof/>
                <w:webHidden/>
              </w:rPr>
              <w:fldChar w:fldCharType="end"/>
            </w:r>
          </w:hyperlink>
        </w:p>
        <w:p w14:paraId="2CF4D924" w14:textId="5E201BA0"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61" w:history="1">
            <w:r w:rsidR="003A38F8" w:rsidRPr="00A072C9">
              <w:rPr>
                <w:rStyle w:val="Lienhypertexte"/>
                <w:noProof/>
              </w:rPr>
              <w:t>Destination - Tackling diseases and reducing disease burden</w:t>
            </w:r>
            <w:r w:rsidR="003A38F8">
              <w:rPr>
                <w:noProof/>
                <w:webHidden/>
              </w:rPr>
              <w:tab/>
            </w:r>
            <w:r w:rsidR="003A38F8">
              <w:rPr>
                <w:noProof/>
                <w:webHidden/>
              </w:rPr>
              <w:fldChar w:fldCharType="begin"/>
            </w:r>
            <w:r w:rsidR="003A38F8">
              <w:rPr>
                <w:noProof/>
                <w:webHidden/>
              </w:rPr>
              <w:instrText xml:space="preserve"> PAGEREF _Toc171689861 \h </w:instrText>
            </w:r>
            <w:r w:rsidR="003A38F8">
              <w:rPr>
                <w:noProof/>
                <w:webHidden/>
              </w:rPr>
            </w:r>
            <w:r w:rsidR="003A38F8">
              <w:rPr>
                <w:noProof/>
                <w:webHidden/>
              </w:rPr>
              <w:fldChar w:fldCharType="separate"/>
            </w:r>
            <w:r w:rsidR="003A38F8">
              <w:rPr>
                <w:noProof/>
                <w:webHidden/>
              </w:rPr>
              <w:t>33</w:t>
            </w:r>
            <w:r w:rsidR="003A38F8">
              <w:rPr>
                <w:noProof/>
                <w:webHidden/>
              </w:rPr>
              <w:fldChar w:fldCharType="end"/>
            </w:r>
          </w:hyperlink>
        </w:p>
        <w:p w14:paraId="483B1770" w14:textId="2F90D263"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2" w:history="1">
            <w:r w:rsidR="003A38F8" w:rsidRPr="00A072C9">
              <w:rPr>
                <w:rStyle w:val="Lienhypertexte"/>
                <w:noProof/>
              </w:rPr>
              <w:t>HORIZON-HLTH-2025-01-DISEASE-01: Randomised controlled trials to test safety and efficacy of phage therapy for the treatment of antibiotic-resistant bacterial infections</w:t>
            </w:r>
            <w:r w:rsidR="003A38F8">
              <w:rPr>
                <w:noProof/>
                <w:webHidden/>
              </w:rPr>
              <w:tab/>
            </w:r>
            <w:r w:rsidR="003A38F8">
              <w:rPr>
                <w:noProof/>
                <w:webHidden/>
              </w:rPr>
              <w:fldChar w:fldCharType="begin"/>
            </w:r>
            <w:r w:rsidR="003A38F8">
              <w:rPr>
                <w:noProof/>
                <w:webHidden/>
              </w:rPr>
              <w:instrText xml:space="preserve"> PAGEREF _Toc171689862 \h </w:instrText>
            </w:r>
            <w:r w:rsidR="003A38F8">
              <w:rPr>
                <w:noProof/>
                <w:webHidden/>
              </w:rPr>
            </w:r>
            <w:r w:rsidR="003A38F8">
              <w:rPr>
                <w:noProof/>
                <w:webHidden/>
              </w:rPr>
              <w:fldChar w:fldCharType="separate"/>
            </w:r>
            <w:r w:rsidR="003A38F8">
              <w:rPr>
                <w:noProof/>
                <w:webHidden/>
              </w:rPr>
              <w:t>36</w:t>
            </w:r>
            <w:r w:rsidR="003A38F8">
              <w:rPr>
                <w:noProof/>
                <w:webHidden/>
              </w:rPr>
              <w:fldChar w:fldCharType="end"/>
            </w:r>
          </w:hyperlink>
        </w:p>
        <w:p w14:paraId="1DFF09F8" w14:textId="75A05962"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3" w:history="1">
            <w:r w:rsidR="003A38F8" w:rsidRPr="00A072C9">
              <w:rPr>
                <w:rStyle w:val="Lienhypertexte"/>
                <w:noProof/>
              </w:rPr>
              <w:t>HORIZON-HLTH-2025-01-DISEASE-02: Advancing innovative interventions for mental, behavioural and neurodevelopmental disorders</w:t>
            </w:r>
            <w:r w:rsidR="003A38F8">
              <w:rPr>
                <w:noProof/>
                <w:webHidden/>
              </w:rPr>
              <w:tab/>
            </w:r>
            <w:r w:rsidR="003A38F8">
              <w:rPr>
                <w:noProof/>
                <w:webHidden/>
              </w:rPr>
              <w:fldChar w:fldCharType="begin"/>
            </w:r>
            <w:r w:rsidR="003A38F8">
              <w:rPr>
                <w:noProof/>
                <w:webHidden/>
              </w:rPr>
              <w:instrText xml:space="preserve"> PAGEREF _Toc171689863 \h </w:instrText>
            </w:r>
            <w:r w:rsidR="003A38F8">
              <w:rPr>
                <w:noProof/>
                <w:webHidden/>
              </w:rPr>
            </w:r>
            <w:r w:rsidR="003A38F8">
              <w:rPr>
                <w:noProof/>
                <w:webHidden/>
              </w:rPr>
              <w:fldChar w:fldCharType="separate"/>
            </w:r>
            <w:r w:rsidR="003A38F8">
              <w:rPr>
                <w:noProof/>
                <w:webHidden/>
              </w:rPr>
              <w:t>39</w:t>
            </w:r>
            <w:r w:rsidR="003A38F8">
              <w:rPr>
                <w:noProof/>
                <w:webHidden/>
              </w:rPr>
              <w:fldChar w:fldCharType="end"/>
            </w:r>
          </w:hyperlink>
        </w:p>
        <w:p w14:paraId="5C2E203F" w14:textId="2318DEAF"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4" w:history="1">
            <w:r w:rsidR="003A38F8" w:rsidRPr="00A072C9">
              <w:rPr>
                <w:rStyle w:val="Lienhypertexte"/>
                <w:noProof/>
              </w:rPr>
              <w:t>HORIZON-HLTH-2025-01-DISEASE-03: Development of antibodies and antibody-derived proteins for the prevention and treatment of infectious diseases with epidemic potential</w:t>
            </w:r>
            <w:r w:rsidR="003A38F8">
              <w:rPr>
                <w:noProof/>
                <w:webHidden/>
              </w:rPr>
              <w:tab/>
            </w:r>
            <w:r w:rsidR="003A38F8">
              <w:rPr>
                <w:noProof/>
                <w:webHidden/>
              </w:rPr>
              <w:fldChar w:fldCharType="begin"/>
            </w:r>
            <w:r w:rsidR="003A38F8">
              <w:rPr>
                <w:noProof/>
                <w:webHidden/>
              </w:rPr>
              <w:instrText xml:space="preserve"> PAGEREF _Toc171689864 \h </w:instrText>
            </w:r>
            <w:r w:rsidR="003A38F8">
              <w:rPr>
                <w:noProof/>
                <w:webHidden/>
              </w:rPr>
            </w:r>
            <w:r w:rsidR="003A38F8">
              <w:rPr>
                <w:noProof/>
                <w:webHidden/>
              </w:rPr>
              <w:fldChar w:fldCharType="separate"/>
            </w:r>
            <w:r w:rsidR="003A38F8">
              <w:rPr>
                <w:noProof/>
                <w:webHidden/>
              </w:rPr>
              <w:t>42</w:t>
            </w:r>
            <w:r w:rsidR="003A38F8">
              <w:rPr>
                <w:noProof/>
                <w:webHidden/>
              </w:rPr>
              <w:fldChar w:fldCharType="end"/>
            </w:r>
          </w:hyperlink>
        </w:p>
        <w:p w14:paraId="7097F0B8" w14:textId="03601FBE"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5" w:history="1">
            <w:r w:rsidR="003A38F8" w:rsidRPr="00A072C9">
              <w:rPr>
                <w:rStyle w:val="Lienhypertexte"/>
                <w:noProof/>
              </w:rPr>
              <w:t>HORIZON-HLTH-2025-01-DISEASE-04: Leveraging artificial intelligence for pandemic preparedness and response</w:t>
            </w:r>
            <w:r w:rsidR="003A38F8">
              <w:rPr>
                <w:noProof/>
                <w:webHidden/>
              </w:rPr>
              <w:tab/>
            </w:r>
            <w:r w:rsidR="003A38F8">
              <w:rPr>
                <w:noProof/>
                <w:webHidden/>
              </w:rPr>
              <w:fldChar w:fldCharType="begin"/>
            </w:r>
            <w:r w:rsidR="003A38F8">
              <w:rPr>
                <w:noProof/>
                <w:webHidden/>
              </w:rPr>
              <w:instrText xml:space="preserve"> PAGEREF _Toc171689865 \h </w:instrText>
            </w:r>
            <w:r w:rsidR="003A38F8">
              <w:rPr>
                <w:noProof/>
                <w:webHidden/>
              </w:rPr>
            </w:r>
            <w:r w:rsidR="003A38F8">
              <w:rPr>
                <w:noProof/>
                <w:webHidden/>
              </w:rPr>
              <w:fldChar w:fldCharType="separate"/>
            </w:r>
            <w:r w:rsidR="003A38F8">
              <w:rPr>
                <w:noProof/>
                <w:webHidden/>
              </w:rPr>
              <w:t>45</w:t>
            </w:r>
            <w:r w:rsidR="003A38F8">
              <w:rPr>
                <w:noProof/>
                <w:webHidden/>
              </w:rPr>
              <w:fldChar w:fldCharType="end"/>
            </w:r>
          </w:hyperlink>
        </w:p>
        <w:p w14:paraId="0FFAA8E6" w14:textId="47B9129A"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6" w:history="1">
            <w:r w:rsidR="003A38F8" w:rsidRPr="00A072C9">
              <w:rPr>
                <w:rStyle w:val="Lienhypertexte"/>
                <w:noProof/>
              </w:rPr>
              <w:t>HORIZON-HLTH-2025-01-DISEASE-05: Support for the functioning of the Global Research Collaboration for Infectious Disease Preparedness (GloPID-R)</w:t>
            </w:r>
            <w:r w:rsidR="003A38F8">
              <w:rPr>
                <w:noProof/>
                <w:webHidden/>
              </w:rPr>
              <w:tab/>
            </w:r>
            <w:r w:rsidR="003A38F8">
              <w:rPr>
                <w:noProof/>
                <w:webHidden/>
              </w:rPr>
              <w:fldChar w:fldCharType="begin"/>
            </w:r>
            <w:r w:rsidR="003A38F8">
              <w:rPr>
                <w:noProof/>
                <w:webHidden/>
              </w:rPr>
              <w:instrText xml:space="preserve"> PAGEREF _Toc171689866 \h </w:instrText>
            </w:r>
            <w:r w:rsidR="003A38F8">
              <w:rPr>
                <w:noProof/>
                <w:webHidden/>
              </w:rPr>
            </w:r>
            <w:r w:rsidR="003A38F8">
              <w:rPr>
                <w:noProof/>
                <w:webHidden/>
              </w:rPr>
              <w:fldChar w:fldCharType="separate"/>
            </w:r>
            <w:r w:rsidR="003A38F8">
              <w:rPr>
                <w:noProof/>
                <w:webHidden/>
              </w:rPr>
              <w:t>48</w:t>
            </w:r>
            <w:r w:rsidR="003A38F8">
              <w:rPr>
                <w:noProof/>
                <w:webHidden/>
              </w:rPr>
              <w:fldChar w:fldCharType="end"/>
            </w:r>
          </w:hyperlink>
        </w:p>
        <w:p w14:paraId="1E2E4251" w14:textId="34D4D4D0"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7" w:history="1">
            <w:r w:rsidR="003A38F8" w:rsidRPr="00A072C9">
              <w:rPr>
                <w:rStyle w:val="Lienhypertexte"/>
                <w:noProof/>
              </w:rPr>
              <w:t>HORIZON-HLTH-2025-01-DISEASE-06: Implementation research addressing strategies to strengthen health systems for equitable high-quality care and health outcomes in the context of non-communicable diseases (GACD)</w:t>
            </w:r>
            <w:r w:rsidR="003A38F8">
              <w:rPr>
                <w:noProof/>
                <w:webHidden/>
              </w:rPr>
              <w:tab/>
            </w:r>
            <w:r w:rsidR="003A38F8">
              <w:rPr>
                <w:noProof/>
                <w:webHidden/>
              </w:rPr>
              <w:fldChar w:fldCharType="begin"/>
            </w:r>
            <w:r w:rsidR="003A38F8">
              <w:rPr>
                <w:noProof/>
                <w:webHidden/>
              </w:rPr>
              <w:instrText xml:space="preserve"> PAGEREF _Toc171689867 \h </w:instrText>
            </w:r>
            <w:r w:rsidR="003A38F8">
              <w:rPr>
                <w:noProof/>
                <w:webHidden/>
              </w:rPr>
            </w:r>
            <w:r w:rsidR="003A38F8">
              <w:rPr>
                <w:noProof/>
                <w:webHidden/>
              </w:rPr>
              <w:fldChar w:fldCharType="separate"/>
            </w:r>
            <w:r w:rsidR="003A38F8">
              <w:rPr>
                <w:noProof/>
                <w:webHidden/>
              </w:rPr>
              <w:t>50</w:t>
            </w:r>
            <w:r w:rsidR="003A38F8">
              <w:rPr>
                <w:noProof/>
                <w:webHidden/>
              </w:rPr>
              <w:fldChar w:fldCharType="end"/>
            </w:r>
          </w:hyperlink>
        </w:p>
        <w:p w14:paraId="6FB2F131" w14:textId="6B30D353"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8" w:history="1">
            <w:r w:rsidR="003A38F8" w:rsidRPr="00A072C9">
              <w:rPr>
                <w:rStyle w:val="Lienhypertexte"/>
                <w:noProof/>
              </w:rPr>
              <w:t>HORIZON-HLTH-2025-02-DISEASE-01: European Partnership for Brain Health</w:t>
            </w:r>
            <w:r w:rsidR="003A38F8">
              <w:rPr>
                <w:noProof/>
                <w:webHidden/>
              </w:rPr>
              <w:tab/>
            </w:r>
            <w:r w:rsidR="003A38F8">
              <w:rPr>
                <w:noProof/>
                <w:webHidden/>
              </w:rPr>
              <w:fldChar w:fldCharType="begin"/>
            </w:r>
            <w:r w:rsidR="003A38F8">
              <w:rPr>
                <w:noProof/>
                <w:webHidden/>
              </w:rPr>
              <w:instrText xml:space="preserve"> PAGEREF _Toc171689868 \h </w:instrText>
            </w:r>
            <w:r w:rsidR="003A38F8">
              <w:rPr>
                <w:noProof/>
                <w:webHidden/>
              </w:rPr>
            </w:r>
            <w:r w:rsidR="003A38F8">
              <w:rPr>
                <w:noProof/>
                <w:webHidden/>
              </w:rPr>
              <w:fldChar w:fldCharType="separate"/>
            </w:r>
            <w:r w:rsidR="003A38F8">
              <w:rPr>
                <w:noProof/>
                <w:webHidden/>
              </w:rPr>
              <w:t>56</w:t>
            </w:r>
            <w:r w:rsidR="003A38F8">
              <w:rPr>
                <w:noProof/>
                <w:webHidden/>
              </w:rPr>
              <w:fldChar w:fldCharType="end"/>
            </w:r>
          </w:hyperlink>
        </w:p>
        <w:p w14:paraId="3EDBE7DA" w14:textId="2BE44D07"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69" w:history="1">
            <w:r w:rsidR="003A38F8" w:rsidRPr="00A072C9">
              <w:rPr>
                <w:rStyle w:val="Lienhypertexte"/>
                <w:noProof/>
              </w:rPr>
              <w:t>HORIZON-HLTH-2025-03-DISEASE-01: European partnership fostering a European Research Area (ERA) for health research (Phase 2)</w:t>
            </w:r>
            <w:r w:rsidR="003A38F8">
              <w:rPr>
                <w:noProof/>
                <w:webHidden/>
              </w:rPr>
              <w:tab/>
            </w:r>
            <w:r w:rsidR="003A38F8">
              <w:rPr>
                <w:noProof/>
                <w:webHidden/>
              </w:rPr>
              <w:fldChar w:fldCharType="begin"/>
            </w:r>
            <w:r w:rsidR="003A38F8">
              <w:rPr>
                <w:noProof/>
                <w:webHidden/>
              </w:rPr>
              <w:instrText xml:space="preserve"> PAGEREF _Toc171689869 \h </w:instrText>
            </w:r>
            <w:r w:rsidR="003A38F8">
              <w:rPr>
                <w:noProof/>
                <w:webHidden/>
              </w:rPr>
            </w:r>
            <w:r w:rsidR="003A38F8">
              <w:rPr>
                <w:noProof/>
                <w:webHidden/>
              </w:rPr>
              <w:fldChar w:fldCharType="separate"/>
            </w:r>
            <w:r w:rsidR="003A38F8">
              <w:rPr>
                <w:noProof/>
                <w:webHidden/>
              </w:rPr>
              <w:t>61</w:t>
            </w:r>
            <w:r w:rsidR="003A38F8">
              <w:rPr>
                <w:noProof/>
                <w:webHidden/>
              </w:rPr>
              <w:fldChar w:fldCharType="end"/>
            </w:r>
          </w:hyperlink>
        </w:p>
        <w:p w14:paraId="155A6433" w14:textId="23758C28"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70" w:history="1">
            <w:r w:rsidR="003A38F8" w:rsidRPr="00A072C9">
              <w:rPr>
                <w:rStyle w:val="Lienhypertexte"/>
                <w:noProof/>
              </w:rPr>
              <w:t>Destination - Ensuring equal access to innovative, sustainable, and high-quality healthcare</w:t>
            </w:r>
            <w:r w:rsidR="003A38F8">
              <w:rPr>
                <w:noProof/>
                <w:webHidden/>
              </w:rPr>
              <w:tab/>
            </w:r>
            <w:r w:rsidR="003A38F8">
              <w:rPr>
                <w:noProof/>
                <w:webHidden/>
              </w:rPr>
              <w:fldChar w:fldCharType="begin"/>
            </w:r>
            <w:r w:rsidR="003A38F8">
              <w:rPr>
                <w:noProof/>
                <w:webHidden/>
              </w:rPr>
              <w:instrText xml:space="preserve"> PAGEREF _Toc171689870 \h </w:instrText>
            </w:r>
            <w:r w:rsidR="003A38F8">
              <w:rPr>
                <w:noProof/>
                <w:webHidden/>
              </w:rPr>
            </w:r>
            <w:r w:rsidR="003A38F8">
              <w:rPr>
                <w:noProof/>
                <w:webHidden/>
              </w:rPr>
              <w:fldChar w:fldCharType="separate"/>
            </w:r>
            <w:r w:rsidR="003A38F8">
              <w:rPr>
                <w:noProof/>
                <w:webHidden/>
              </w:rPr>
              <w:t>67</w:t>
            </w:r>
            <w:r w:rsidR="003A38F8">
              <w:rPr>
                <w:noProof/>
                <w:webHidden/>
              </w:rPr>
              <w:fldChar w:fldCharType="end"/>
            </w:r>
          </w:hyperlink>
        </w:p>
        <w:p w14:paraId="47C2AF60" w14:textId="1332D10A"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71" w:history="1">
            <w:r w:rsidR="003A38F8" w:rsidRPr="00A072C9">
              <w:rPr>
                <w:rStyle w:val="Lienhypertexte"/>
                <w:noProof/>
              </w:rPr>
              <w:t>HORIZON-HLTH-2025-01-CARE-01: End user-driven application of Generative Artificial Intelligence models in healthcare (GenAI4EU)</w:t>
            </w:r>
            <w:r w:rsidR="003A38F8">
              <w:rPr>
                <w:noProof/>
                <w:webHidden/>
              </w:rPr>
              <w:tab/>
            </w:r>
            <w:r w:rsidR="003A38F8">
              <w:rPr>
                <w:noProof/>
                <w:webHidden/>
              </w:rPr>
              <w:fldChar w:fldCharType="begin"/>
            </w:r>
            <w:r w:rsidR="003A38F8">
              <w:rPr>
                <w:noProof/>
                <w:webHidden/>
              </w:rPr>
              <w:instrText xml:space="preserve"> PAGEREF _Toc171689871 \h </w:instrText>
            </w:r>
            <w:r w:rsidR="003A38F8">
              <w:rPr>
                <w:noProof/>
                <w:webHidden/>
              </w:rPr>
            </w:r>
            <w:r w:rsidR="003A38F8">
              <w:rPr>
                <w:noProof/>
                <w:webHidden/>
              </w:rPr>
              <w:fldChar w:fldCharType="separate"/>
            </w:r>
            <w:r w:rsidR="003A38F8">
              <w:rPr>
                <w:noProof/>
                <w:webHidden/>
              </w:rPr>
              <w:t>69</w:t>
            </w:r>
            <w:r w:rsidR="003A38F8">
              <w:rPr>
                <w:noProof/>
                <w:webHidden/>
              </w:rPr>
              <w:fldChar w:fldCharType="end"/>
            </w:r>
          </w:hyperlink>
        </w:p>
        <w:p w14:paraId="12CECE38" w14:textId="741BEDA8"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72" w:history="1">
            <w:r w:rsidR="003A38F8" w:rsidRPr="00A072C9">
              <w:rPr>
                <w:rStyle w:val="Lienhypertexte"/>
                <w:noProof/>
              </w:rPr>
              <w:t>Destination - Developing and using new tools, technologies and digital solutions for a healthy society</w:t>
            </w:r>
            <w:r w:rsidR="003A38F8">
              <w:rPr>
                <w:noProof/>
                <w:webHidden/>
              </w:rPr>
              <w:tab/>
            </w:r>
            <w:r w:rsidR="003A38F8">
              <w:rPr>
                <w:noProof/>
                <w:webHidden/>
              </w:rPr>
              <w:fldChar w:fldCharType="begin"/>
            </w:r>
            <w:r w:rsidR="003A38F8">
              <w:rPr>
                <w:noProof/>
                <w:webHidden/>
              </w:rPr>
              <w:instrText xml:space="preserve"> PAGEREF _Toc171689872 \h </w:instrText>
            </w:r>
            <w:r w:rsidR="003A38F8">
              <w:rPr>
                <w:noProof/>
                <w:webHidden/>
              </w:rPr>
            </w:r>
            <w:r w:rsidR="003A38F8">
              <w:rPr>
                <w:noProof/>
                <w:webHidden/>
              </w:rPr>
              <w:fldChar w:fldCharType="separate"/>
            </w:r>
            <w:r w:rsidR="003A38F8">
              <w:rPr>
                <w:noProof/>
                <w:webHidden/>
              </w:rPr>
              <w:t>74</w:t>
            </w:r>
            <w:r w:rsidR="003A38F8">
              <w:rPr>
                <w:noProof/>
                <w:webHidden/>
              </w:rPr>
              <w:fldChar w:fldCharType="end"/>
            </w:r>
          </w:hyperlink>
        </w:p>
        <w:p w14:paraId="22C9F3BE" w14:textId="3E6172DE"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73" w:history="1">
            <w:r w:rsidR="003A38F8" w:rsidRPr="00A072C9">
              <w:rPr>
                <w:rStyle w:val="Lienhypertexte"/>
                <w:noProof/>
              </w:rPr>
              <w:t>HORIZON-HLTH-2025-01-TOOL-01: Enhancing cell therapies with synthetic biology</w:t>
            </w:r>
            <w:r w:rsidR="003A38F8">
              <w:rPr>
                <w:noProof/>
                <w:webHidden/>
              </w:rPr>
              <w:tab/>
            </w:r>
            <w:r w:rsidR="003A38F8">
              <w:rPr>
                <w:noProof/>
                <w:webHidden/>
              </w:rPr>
              <w:fldChar w:fldCharType="begin"/>
            </w:r>
            <w:r w:rsidR="003A38F8">
              <w:rPr>
                <w:noProof/>
                <w:webHidden/>
              </w:rPr>
              <w:instrText xml:space="preserve"> PAGEREF _Toc171689873 \h </w:instrText>
            </w:r>
            <w:r w:rsidR="003A38F8">
              <w:rPr>
                <w:noProof/>
                <w:webHidden/>
              </w:rPr>
            </w:r>
            <w:r w:rsidR="003A38F8">
              <w:rPr>
                <w:noProof/>
                <w:webHidden/>
              </w:rPr>
              <w:fldChar w:fldCharType="separate"/>
            </w:r>
            <w:r w:rsidR="003A38F8">
              <w:rPr>
                <w:noProof/>
                <w:webHidden/>
              </w:rPr>
              <w:t>77</w:t>
            </w:r>
            <w:r w:rsidR="003A38F8">
              <w:rPr>
                <w:noProof/>
                <w:webHidden/>
              </w:rPr>
              <w:fldChar w:fldCharType="end"/>
            </w:r>
          </w:hyperlink>
        </w:p>
        <w:p w14:paraId="389878BF" w14:textId="211A8381"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74" w:history="1">
            <w:r w:rsidR="003A38F8" w:rsidRPr="00A072C9">
              <w:rPr>
                <w:rStyle w:val="Lienhypertexte"/>
                <w:noProof/>
              </w:rPr>
              <w:t>HORIZON-HLTH-2025-01-TOOL-02: Advancing cell secretome-based therapies</w:t>
            </w:r>
            <w:r w:rsidR="003A38F8">
              <w:rPr>
                <w:noProof/>
                <w:webHidden/>
              </w:rPr>
              <w:tab/>
            </w:r>
            <w:r w:rsidR="003A38F8">
              <w:rPr>
                <w:noProof/>
                <w:webHidden/>
              </w:rPr>
              <w:fldChar w:fldCharType="begin"/>
            </w:r>
            <w:r w:rsidR="003A38F8">
              <w:rPr>
                <w:noProof/>
                <w:webHidden/>
              </w:rPr>
              <w:instrText xml:space="preserve"> PAGEREF _Toc171689874 \h </w:instrText>
            </w:r>
            <w:r w:rsidR="003A38F8">
              <w:rPr>
                <w:noProof/>
                <w:webHidden/>
              </w:rPr>
            </w:r>
            <w:r w:rsidR="003A38F8">
              <w:rPr>
                <w:noProof/>
                <w:webHidden/>
              </w:rPr>
              <w:fldChar w:fldCharType="separate"/>
            </w:r>
            <w:r w:rsidR="003A38F8">
              <w:rPr>
                <w:noProof/>
                <w:webHidden/>
              </w:rPr>
              <w:t>80</w:t>
            </w:r>
            <w:r w:rsidR="003A38F8">
              <w:rPr>
                <w:noProof/>
                <w:webHidden/>
              </w:rPr>
              <w:fldChar w:fldCharType="end"/>
            </w:r>
          </w:hyperlink>
        </w:p>
        <w:p w14:paraId="4C5CFE1E" w14:textId="5ABC1F93"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75" w:history="1">
            <w:r w:rsidR="003A38F8" w:rsidRPr="00A072C9">
              <w:rPr>
                <w:rStyle w:val="Lienhypertexte"/>
                <w:noProof/>
              </w:rPr>
              <w:t>HORIZON-HLTH-2025-01-TOOL-03: Leveraging multimodal data to advance Generative Artificial Intelligence applicability in biomedical research (GenAI4EU)</w:t>
            </w:r>
            <w:r w:rsidR="003A38F8">
              <w:rPr>
                <w:noProof/>
                <w:webHidden/>
              </w:rPr>
              <w:tab/>
            </w:r>
            <w:r w:rsidR="003A38F8">
              <w:rPr>
                <w:noProof/>
                <w:webHidden/>
              </w:rPr>
              <w:fldChar w:fldCharType="begin"/>
            </w:r>
            <w:r w:rsidR="003A38F8">
              <w:rPr>
                <w:noProof/>
                <w:webHidden/>
              </w:rPr>
              <w:instrText xml:space="preserve"> PAGEREF _Toc171689875 \h </w:instrText>
            </w:r>
            <w:r w:rsidR="003A38F8">
              <w:rPr>
                <w:noProof/>
                <w:webHidden/>
              </w:rPr>
            </w:r>
            <w:r w:rsidR="003A38F8">
              <w:rPr>
                <w:noProof/>
                <w:webHidden/>
              </w:rPr>
              <w:fldChar w:fldCharType="separate"/>
            </w:r>
            <w:r w:rsidR="003A38F8">
              <w:rPr>
                <w:noProof/>
                <w:webHidden/>
              </w:rPr>
              <w:t>83</w:t>
            </w:r>
            <w:r w:rsidR="003A38F8">
              <w:rPr>
                <w:noProof/>
                <w:webHidden/>
              </w:rPr>
              <w:fldChar w:fldCharType="end"/>
            </w:r>
          </w:hyperlink>
        </w:p>
        <w:p w14:paraId="268DB0B9" w14:textId="13D7B877"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76" w:history="1">
            <w:r w:rsidR="003A38F8" w:rsidRPr="00A072C9">
              <w:rPr>
                <w:rStyle w:val="Lienhypertexte"/>
                <w:noProof/>
              </w:rPr>
              <w:t>HORIZON-HLTH-2025-01-TOOL-05: Boosting the translation of biotech research into innovative health therapies</w:t>
            </w:r>
            <w:r w:rsidR="003A38F8">
              <w:rPr>
                <w:noProof/>
                <w:webHidden/>
              </w:rPr>
              <w:tab/>
            </w:r>
            <w:r w:rsidR="003A38F8">
              <w:rPr>
                <w:noProof/>
                <w:webHidden/>
              </w:rPr>
              <w:fldChar w:fldCharType="begin"/>
            </w:r>
            <w:r w:rsidR="003A38F8">
              <w:rPr>
                <w:noProof/>
                <w:webHidden/>
              </w:rPr>
              <w:instrText xml:space="preserve"> PAGEREF _Toc171689876 \h </w:instrText>
            </w:r>
            <w:r w:rsidR="003A38F8">
              <w:rPr>
                <w:noProof/>
                <w:webHidden/>
              </w:rPr>
            </w:r>
            <w:r w:rsidR="003A38F8">
              <w:rPr>
                <w:noProof/>
                <w:webHidden/>
              </w:rPr>
              <w:fldChar w:fldCharType="separate"/>
            </w:r>
            <w:r w:rsidR="003A38F8">
              <w:rPr>
                <w:noProof/>
                <w:webHidden/>
              </w:rPr>
              <w:t>87</w:t>
            </w:r>
            <w:r w:rsidR="003A38F8">
              <w:rPr>
                <w:noProof/>
                <w:webHidden/>
              </w:rPr>
              <w:fldChar w:fldCharType="end"/>
            </w:r>
          </w:hyperlink>
        </w:p>
        <w:p w14:paraId="24C16B4C" w14:textId="2AC662EB"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77" w:history="1">
            <w:r w:rsidR="003A38F8" w:rsidRPr="00A072C9">
              <w:rPr>
                <w:rStyle w:val="Lienhypertexte"/>
                <w:noProof/>
              </w:rPr>
              <w:t>Destination - Maintaining an innovative, sustainable, and competitive EU health industry</w:t>
            </w:r>
            <w:r w:rsidR="003A38F8">
              <w:rPr>
                <w:noProof/>
                <w:webHidden/>
              </w:rPr>
              <w:tab/>
            </w:r>
            <w:r w:rsidR="003A38F8">
              <w:rPr>
                <w:noProof/>
                <w:webHidden/>
              </w:rPr>
              <w:fldChar w:fldCharType="begin"/>
            </w:r>
            <w:r w:rsidR="003A38F8">
              <w:rPr>
                <w:noProof/>
                <w:webHidden/>
              </w:rPr>
              <w:instrText xml:space="preserve"> PAGEREF _Toc171689877 \h </w:instrText>
            </w:r>
            <w:r w:rsidR="003A38F8">
              <w:rPr>
                <w:noProof/>
                <w:webHidden/>
              </w:rPr>
            </w:r>
            <w:r w:rsidR="003A38F8">
              <w:rPr>
                <w:noProof/>
                <w:webHidden/>
              </w:rPr>
              <w:fldChar w:fldCharType="separate"/>
            </w:r>
            <w:r w:rsidR="003A38F8">
              <w:rPr>
                <w:noProof/>
                <w:webHidden/>
              </w:rPr>
              <w:t>89</w:t>
            </w:r>
            <w:r w:rsidR="003A38F8">
              <w:rPr>
                <w:noProof/>
                <w:webHidden/>
              </w:rPr>
              <w:fldChar w:fldCharType="end"/>
            </w:r>
          </w:hyperlink>
        </w:p>
        <w:p w14:paraId="2B3DFE07" w14:textId="3EE58DD5"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78" w:history="1">
            <w:r w:rsidR="003A38F8" w:rsidRPr="00A072C9">
              <w:rPr>
                <w:rStyle w:val="Lienhypertexte"/>
                <w:noProof/>
              </w:rPr>
              <w:t>HORIZON-HLTH-2025-01-IND-01: Optimising the manufacturing of Advanced Therapy Medicinal Products (ATMPs)</w:t>
            </w:r>
            <w:r w:rsidR="003A38F8">
              <w:rPr>
                <w:noProof/>
                <w:webHidden/>
              </w:rPr>
              <w:tab/>
            </w:r>
            <w:r w:rsidR="003A38F8">
              <w:rPr>
                <w:noProof/>
                <w:webHidden/>
              </w:rPr>
              <w:fldChar w:fldCharType="begin"/>
            </w:r>
            <w:r w:rsidR="003A38F8">
              <w:rPr>
                <w:noProof/>
                <w:webHidden/>
              </w:rPr>
              <w:instrText xml:space="preserve"> PAGEREF _Toc171689878 \h </w:instrText>
            </w:r>
            <w:r w:rsidR="003A38F8">
              <w:rPr>
                <w:noProof/>
                <w:webHidden/>
              </w:rPr>
            </w:r>
            <w:r w:rsidR="003A38F8">
              <w:rPr>
                <w:noProof/>
                <w:webHidden/>
              </w:rPr>
              <w:fldChar w:fldCharType="separate"/>
            </w:r>
            <w:r w:rsidR="003A38F8">
              <w:rPr>
                <w:noProof/>
                <w:webHidden/>
              </w:rPr>
              <w:t>91</w:t>
            </w:r>
            <w:r w:rsidR="003A38F8">
              <w:rPr>
                <w:noProof/>
                <w:webHidden/>
              </w:rPr>
              <w:fldChar w:fldCharType="end"/>
            </w:r>
          </w:hyperlink>
        </w:p>
        <w:p w14:paraId="04472DF6" w14:textId="73AAB598"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79" w:history="1">
            <w:r w:rsidR="003A38F8" w:rsidRPr="00A072C9">
              <w:rPr>
                <w:rStyle w:val="Lienhypertexte"/>
                <w:noProof/>
              </w:rPr>
              <w:t>HORIZON-HLTH-2025-01-IND-02: Digitalisation of conformity assessment procedures of medical devices and in vitro diagnostic medical devices</w:t>
            </w:r>
            <w:r w:rsidR="003A38F8">
              <w:rPr>
                <w:noProof/>
                <w:webHidden/>
              </w:rPr>
              <w:tab/>
            </w:r>
            <w:r w:rsidR="003A38F8">
              <w:rPr>
                <w:noProof/>
                <w:webHidden/>
              </w:rPr>
              <w:fldChar w:fldCharType="begin"/>
            </w:r>
            <w:r w:rsidR="003A38F8">
              <w:rPr>
                <w:noProof/>
                <w:webHidden/>
              </w:rPr>
              <w:instrText xml:space="preserve"> PAGEREF _Toc171689879 \h </w:instrText>
            </w:r>
            <w:r w:rsidR="003A38F8">
              <w:rPr>
                <w:noProof/>
                <w:webHidden/>
              </w:rPr>
            </w:r>
            <w:r w:rsidR="003A38F8">
              <w:rPr>
                <w:noProof/>
                <w:webHidden/>
              </w:rPr>
              <w:fldChar w:fldCharType="separate"/>
            </w:r>
            <w:r w:rsidR="003A38F8">
              <w:rPr>
                <w:noProof/>
                <w:webHidden/>
              </w:rPr>
              <w:t>94</w:t>
            </w:r>
            <w:r w:rsidR="003A38F8">
              <w:rPr>
                <w:noProof/>
                <w:webHidden/>
              </w:rPr>
              <w:fldChar w:fldCharType="end"/>
            </w:r>
          </w:hyperlink>
        </w:p>
        <w:p w14:paraId="39BADA8F" w14:textId="31A29267"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80" w:history="1">
            <w:r w:rsidR="003A38F8" w:rsidRPr="00A072C9">
              <w:rPr>
                <w:rStyle w:val="Lienhypertexte"/>
                <w:noProof/>
              </w:rPr>
              <w:t>HORIZON-HLTH-2025-01-IND-03: Facilitating the conduct of multinational clinical studies of orphan devices and/or of highly innovative (“breakthrough”) devices</w:t>
            </w:r>
            <w:r w:rsidR="003A38F8">
              <w:rPr>
                <w:noProof/>
                <w:webHidden/>
              </w:rPr>
              <w:tab/>
            </w:r>
            <w:r w:rsidR="003A38F8">
              <w:rPr>
                <w:noProof/>
                <w:webHidden/>
              </w:rPr>
              <w:fldChar w:fldCharType="begin"/>
            </w:r>
            <w:r w:rsidR="003A38F8">
              <w:rPr>
                <w:noProof/>
                <w:webHidden/>
              </w:rPr>
              <w:instrText xml:space="preserve"> PAGEREF _Toc171689880 \h </w:instrText>
            </w:r>
            <w:r w:rsidR="003A38F8">
              <w:rPr>
                <w:noProof/>
                <w:webHidden/>
              </w:rPr>
            </w:r>
            <w:r w:rsidR="003A38F8">
              <w:rPr>
                <w:noProof/>
                <w:webHidden/>
              </w:rPr>
              <w:fldChar w:fldCharType="separate"/>
            </w:r>
            <w:r w:rsidR="003A38F8">
              <w:rPr>
                <w:noProof/>
                <w:webHidden/>
              </w:rPr>
              <w:t>97</w:t>
            </w:r>
            <w:r w:rsidR="003A38F8">
              <w:rPr>
                <w:noProof/>
                <w:webHidden/>
              </w:rPr>
              <w:fldChar w:fldCharType="end"/>
            </w:r>
          </w:hyperlink>
        </w:p>
        <w:p w14:paraId="505F6F86" w14:textId="775CF862" w:rsidR="003A38F8" w:rsidRDefault="00000000">
          <w:pPr>
            <w:pStyle w:val="TM1"/>
            <w:tabs>
              <w:tab w:val="right" w:leader="dot" w:pos="9062"/>
            </w:tabs>
            <w:rPr>
              <w:rFonts w:asciiTheme="minorHAnsi" w:hAnsiTheme="minorHAnsi"/>
              <w:b w:val="0"/>
              <w:bCs w:val="0"/>
              <w:kern w:val="2"/>
              <w:sz w:val="22"/>
              <w:szCs w:val="22"/>
              <w:lang w:val="en-IE" w:eastAsia="en-IE"/>
              <w14:ligatures w14:val="standardContextual"/>
            </w:rPr>
          </w:pPr>
          <w:hyperlink w:anchor="_Toc171689881" w:history="1">
            <w:r w:rsidR="003A38F8" w:rsidRPr="00A072C9">
              <w:rPr>
                <w:rStyle w:val="Lienhypertexte"/>
              </w:rPr>
              <w:t>Other Actions not subject to calls for proposals</w:t>
            </w:r>
            <w:r w:rsidR="003A38F8">
              <w:rPr>
                <w:webHidden/>
              </w:rPr>
              <w:tab/>
            </w:r>
            <w:r w:rsidR="003A38F8">
              <w:rPr>
                <w:webHidden/>
              </w:rPr>
              <w:fldChar w:fldCharType="begin"/>
            </w:r>
            <w:r w:rsidR="003A38F8">
              <w:rPr>
                <w:webHidden/>
              </w:rPr>
              <w:instrText xml:space="preserve"> PAGEREF _Toc171689881 \h </w:instrText>
            </w:r>
            <w:r w:rsidR="003A38F8">
              <w:rPr>
                <w:webHidden/>
              </w:rPr>
            </w:r>
            <w:r w:rsidR="003A38F8">
              <w:rPr>
                <w:webHidden/>
              </w:rPr>
              <w:fldChar w:fldCharType="separate"/>
            </w:r>
            <w:r w:rsidR="003A38F8">
              <w:rPr>
                <w:webHidden/>
              </w:rPr>
              <w:t>102</w:t>
            </w:r>
            <w:r w:rsidR="003A38F8">
              <w:rPr>
                <w:webHidden/>
              </w:rPr>
              <w:fldChar w:fldCharType="end"/>
            </w:r>
          </w:hyperlink>
        </w:p>
        <w:p w14:paraId="78463DC5" w14:textId="03473BF5"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82" w:history="1">
            <w:r w:rsidR="003A38F8" w:rsidRPr="00A072C9">
              <w:rPr>
                <w:rStyle w:val="Lienhypertexte"/>
                <w:noProof/>
              </w:rPr>
              <w:t>Grants to identified beneficiaries</w:t>
            </w:r>
            <w:r w:rsidR="003A38F8">
              <w:rPr>
                <w:noProof/>
                <w:webHidden/>
              </w:rPr>
              <w:tab/>
            </w:r>
            <w:r w:rsidR="003A38F8">
              <w:rPr>
                <w:noProof/>
                <w:webHidden/>
              </w:rPr>
              <w:fldChar w:fldCharType="begin"/>
            </w:r>
            <w:r w:rsidR="003A38F8">
              <w:rPr>
                <w:noProof/>
                <w:webHidden/>
              </w:rPr>
              <w:instrText xml:space="preserve"> PAGEREF _Toc171689882 \h </w:instrText>
            </w:r>
            <w:r w:rsidR="003A38F8">
              <w:rPr>
                <w:noProof/>
                <w:webHidden/>
              </w:rPr>
            </w:r>
            <w:r w:rsidR="003A38F8">
              <w:rPr>
                <w:noProof/>
                <w:webHidden/>
              </w:rPr>
              <w:fldChar w:fldCharType="separate"/>
            </w:r>
            <w:r w:rsidR="003A38F8">
              <w:rPr>
                <w:noProof/>
                <w:webHidden/>
              </w:rPr>
              <w:t>102</w:t>
            </w:r>
            <w:r w:rsidR="003A38F8">
              <w:rPr>
                <w:noProof/>
                <w:webHidden/>
              </w:rPr>
              <w:fldChar w:fldCharType="end"/>
            </w:r>
          </w:hyperlink>
        </w:p>
        <w:p w14:paraId="39BCA375" w14:textId="69C859C0"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83" w:history="1">
            <w:r w:rsidR="003A38F8" w:rsidRPr="00A072C9">
              <w:rPr>
                <w:rStyle w:val="Lienhypertexte"/>
                <w:noProof/>
              </w:rPr>
              <w:t>1. Grant to the Global Alliance for Chronic Diseases (GACD)</w:t>
            </w:r>
            <w:r w:rsidR="003A38F8">
              <w:rPr>
                <w:noProof/>
                <w:webHidden/>
              </w:rPr>
              <w:tab/>
            </w:r>
            <w:r w:rsidR="003A38F8">
              <w:rPr>
                <w:noProof/>
                <w:webHidden/>
              </w:rPr>
              <w:fldChar w:fldCharType="begin"/>
            </w:r>
            <w:r w:rsidR="003A38F8">
              <w:rPr>
                <w:noProof/>
                <w:webHidden/>
              </w:rPr>
              <w:instrText xml:space="preserve"> PAGEREF _Toc171689883 \h </w:instrText>
            </w:r>
            <w:r w:rsidR="003A38F8">
              <w:rPr>
                <w:noProof/>
                <w:webHidden/>
              </w:rPr>
            </w:r>
            <w:r w:rsidR="003A38F8">
              <w:rPr>
                <w:noProof/>
                <w:webHidden/>
              </w:rPr>
              <w:fldChar w:fldCharType="separate"/>
            </w:r>
            <w:r w:rsidR="003A38F8">
              <w:rPr>
                <w:noProof/>
                <w:webHidden/>
              </w:rPr>
              <w:t>102</w:t>
            </w:r>
            <w:r w:rsidR="003A38F8">
              <w:rPr>
                <w:noProof/>
                <w:webHidden/>
              </w:rPr>
              <w:fldChar w:fldCharType="end"/>
            </w:r>
          </w:hyperlink>
        </w:p>
        <w:p w14:paraId="14D780C5" w14:textId="7142C332" w:rsidR="003A38F8" w:rsidRDefault="00000000">
          <w:pPr>
            <w:pStyle w:val="TM2"/>
            <w:tabs>
              <w:tab w:val="right" w:leader="dot" w:pos="9062"/>
            </w:tabs>
            <w:rPr>
              <w:rFonts w:asciiTheme="minorHAnsi" w:hAnsiTheme="minorHAnsi"/>
              <w:b w:val="0"/>
              <w:bCs w:val="0"/>
              <w:noProof/>
              <w:kern w:val="2"/>
              <w:sz w:val="22"/>
              <w:szCs w:val="22"/>
              <w:lang w:val="en-IE" w:eastAsia="en-IE"/>
              <w14:ligatures w14:val="standardContextual"/>
            </w:rPr>
          </w:pPr>
          <w:hyperlink w:anchor="_Toc171689884" w:history="1">
            <w:r w:rsidR="003A38F8" w:rsidRPr="00A072C9">
              <w:rPr>
                <w:rStyle w:val="Lienhypertexte"/>
                <w:noProof/>
              </w:rPr>
              <w:t>Other Instruments</w:t>
            </w:r>
            <w:r w:rsidR="003A38F8">
              <w:rPr>
                <w:noProof/>
                <w:webHidden/>
              </w:rPr>
              <w:tab/>
            </w:r>
            <w:r w:rsidR="003A38F8">
              <w:rPr>
                <w:noProof/>
                <w:webHidden/>
              </w:rPr>
              <w:fldChar w:fldCharType="begin"/>
            </w:r>
            <w:r w:rsidR="003A38F8">
              <w:rPr>
                <w:noProof/>
                <w:webHidden/>
              </w:rPr>
              <w:instrText xml:space="preserve"> PAGEREF _Toc171689884 \h </w:instrText>
            </w:r>
            <w:r w:rsidR="003A38F8">
              <w:rPr>
                <w:noProof/>
                <w:webHidden/>
              </w:rPr>
            </w:r>
            <w:r w:rsidR="003A38F8">
              <w:rPr>
                <w:noProof/>
                <w:webHidden/>
              </w:rPr>
              <w:fldChar w:fldCharType="separate"/>
            </w:r>
            <w:r w:rsidR="003A38F8">
              <w:rPr>
                <w:noProof/>
                <w:webHidden/>
              </w:rPr>
              <w:t>103</w:t>
            </w:r>
            <w:r w:rsidR="003A38F8">
              <w:rPr>
                <w:noProof/>
                <w:webHidden/>
              </w:rPr>
              <w:fldChar w:fldCharType="end"/>
            </w:r>
          </w:hyperlink>
        </w:p>
        <w:p w14:paraId="2A73C110" w14:textId="6A2B3061"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85" w:history="1">
            <w:r w:rsidR="003A38F8" w:rsidRPr="00A072C9">
              <w:rPr>
                <w:rStyle w:val="Lienhypertexte"/>
                <w:noProof/>
              </w:rPr>
              <w:t>1. Studies, conferences, events and outreach activities</w:t>
            </w:r>
            <w:r w:rsidR="003A38F8">
              <w:rPr>
                <w:noProof/>
                <w:webHidden/>
              </w:rPr>
              <w:tab/>
            </w:r>
            <w:r w:rsidR="003A38F8">
              <w:rPr>
                <w:noProof/>
                <w:webHidden/>
              </w:rPr>
              <w:fldChar w:fldCharType="begin"/>
            </w:r>
            <w:r w:rsidR="003A38F8">
              <w:rPr>
                <w:noProof/>
                <w:webHidden/>
              </w:rPr>
              <w:instrText xml:space="preserve"> PAGEREF _Toc171689885 \h </w:instrText>
            </w:r>
            <w:r w:rsidR="003A38F8">
              <w:rPr>
                <w:noProof/>
                <w:webHidden/>
              </w:rPr>
            </w:r>
            <w:r w:rsidR="003A38F8">
              <w:rPr>
                <w:noProof/>
                <w:webHidden/>
              </w:rPr>
              <w:fldChar w:fldCharType="separate"/>
            </w:r>
            <w:r w:rsidR="003A38F8">
              <w:rPr>
                <w:noProof/>
                <w:webHidden/>
              </w:rPr>
              <w:t>103</w:t>
            </w:r>
            <w:r w:rsidR="003A38F8">
              <w:rPr>
                <w:noProof/>
                <w:webHidden/>
              </w:rPr>
              <w:fldChar w:fldCharType="end"/>
            </w:r>
          </w:hyperlink>
        </w:p>
        <w:p w14:paraId="35C23ED5" w14:textId="31CDC80D" w:rsidR="003A38F8" w:rsidRDefault="00000000">
          <w:pPr>
            <w:pStyle w:val="TM3"/>
            <w:tabs>
              <w:tab w:val="right" w:leader="dot" w:pos="9062"/>
            </w:tabs>
            <w:rPr>
              <w:rFonts w:asciiTheme="minorHAnsi" w:hAnsiTheme="minorHAnsi"/>
              <w:noProof/>
              <w:kern w:val="2"/>
              <w:sz w:val="22"/>
              <w:szCs w:val="22"/>
              <w:lang w:val="en-IE" w:eastAsia="en-IE"/>
              <w14:ligatures w14:val="standardContextual"/>
            </w:rPr>
          </w:pPr>
          <w:hyperlink w:anchor="_Toc171689886" w:history="1">
            <w:r w:rsidR="003A38F8" w:rsidRPr="00A072C9">
              <w:rPr>
                <w:rStyle w:val="Lienhypertexte"/>
                <w:noProof/>
              </w:rPr>
              <w:t>2. Subscription to the Human Frontier Science Program Organization</w:t>
            </w:r>
            <w:r w:rsidR="003A38F8">
              <w:rPr>
                <w:noProof/>
                <w:webHidden/>
              </w:rPr>
              <w:tab/>
            </w:r>
            <w:r w:rsidR="003A38F8">
              <w:rPr>
                <w:noProof/>
                <w:webHidden/>
              </w:rPr>
              <w:fldChar w:fldCharType="begin"/>
            </w:r>
            <w:r w:rsidR="003A38F8">
              <w:rPr>
                <w:noProof/>
                <w:webHidden/>
              </w:rPr>
              <w:instrText xml:space="preserve"> PAGEREF _Toc171689886 \h </w:instrText>
            </w:r>
            <w:r w:rsidR="003A38F8">
              <w:rPr>
                <w:noProof/>
                <w:webHidden/>
              </w:rPr>
            </w:r>
            <w:r w:rsidR="003A38F8">
              <w:rPr>
                <w:noProof/>
                <w:webHidden/>
              </w:rPr>
              <w:fldChar w:fldCharType="separate"/>
            </w:r>
            <w:r w:rsidR="003A38F8">
              <w:rPr>
                <w:noProof/>
                <w:webHidden/>
              </w:rPr>
              <w:t>103</w:t>
            </w:r>
            <w:r w:rsidR="003A38F8">
              <w:rPr>
                <w:noProof/>
                <w:webHidden/>
              </w:rPr>
              <w:fldChar w:fldCharType="end"/>
            </w:r>
          </w:hyperlink>
        </w:p>
        <w:p w14:paraId="77F137CF" w14:textId="0C022B3D" w:rsidR="003A38F8" w:rsidRDefault="00000000">
          <w:pPr>
            <w:pStyle w:val="TM1"/>
            <w:tabs>
              <w:tab w:val="right" w:leader="dot" w:pos="9062"/>
            </w:tabs>
            <w:rPr>
              <w:rFonts w:asciiTheme="minorHAnsi" w:hAnsiTheme="minorHAnsi"/>
              <w:b w:val="0"/>
              <w:bCs w:val="0"/>
              <w:kern w:val="2"/>
              <w:sz w:val="22"/>
              <w:szCs w:val="22"/>
              <w:lang w:val="en-IE" w:eastAsia="en-IE"/>
              <w14:ligatures w14:val="standardContextual"/>
            </w:rPr>
          </w:pPr>
          <w:hyperlink w:anchor="_Toc171689887" w:history="1">
            <w:r w:rsidR="003A38F8" w:rsidRPr="00A072C9">
              <w:rPr>
                <w:rStyle w:val="Lienhypertexte"/>
              </w:rPr>
              <w:t>Budget</w:t>
            </w:r>
            <w:r w:rsidR="003A38F8">
              <w:rPr>
                <w:webHidden/>
              </w:rPr>
              <w:tab/>
            </w:r>
            <w:r w:rsidR="003A38F8">
              <w:rPr>
                <w:webHidden/>
              </w:rPr>
              <w:fldChar w:fldCharType="begin"/>
            </w:r>
            <w:r w:rsidR="003A38F8">
              <w:rPr>
                <w:webHidden/>
              </w:rPr>
              <w:instrText xml:space="preserve"> PAGEREF _Toc171689887 \h </w:instrText>
            </w:r>
            <w:r w:rsidR="003A38F8">
              <w:rPr>
                <w:webHidden/>
              </w:rPr>
            </w:r>
            <w:r w:rsidR="003A38F8">
              <w:rPr>
                <w:webHidden/>
              </w:rPr>
              <w:fldChar w:fldCharType="separate"/>
            </w:r>
            <w:r w:rsidR="003A38F8">
              <w:rPr>
                <w:webHidden/>
              </w:rPr>
              <w:t>104</w:t>
            </w:r>
            <w:r w:rsidR="003A38F8">
              <w:rPr>
                <w:webHidden/>
              </w:rPr>
              <w:fldChar w:fldCharType="end"/>
            </w:r>
          </w:hyperlink>
        </w:p>
        <w:p w14:paraId="18734589" w14:textId="7BF6F682" w:rsidR="00112F79" w:rsidRDefault="00A00CB7">
          <w:r>
            <w:rPr>
              <w:b/>
              <w:bCs/>
              <w:noProof/>
              <w:lang w:val="en-US"/>
            </w:rPr>
            <w:fldChar w:fldCharType="end"/>
          </w:r>
        </w:p>
      </w:sdtContent>
    </w:sdt>
    <w:p w14:paraId="193F4DF9" w14:textId="77777777" w:rsidR="00056AEE" w:rsidRDefault="00056AEE"/>
    <w:p w14:paraId="2C9EFB96" w14:textId="77777777" w:rsidR="00056AEE" w:rsidRDefault="00A00CB7">
      <w:pPr>
        <w:pStyle w:val="HeadingOne"/>
        <w:pageBreakBefore/>
      </w:pPr>
      <w:bookmarkStart w:id="0" w:name="_Toc171689847"/>
      <w:r>
        <w:lastRenderedPageBreak/>
        <w:t>Introduction</w:t>
      </w:r>
      <w:bookmarkEnd w:id="0"/>
    </w:p>
    <w:p w14:paraId="6A2670D2" w14:textId="77777777" w:rsidR="00056AEE" w:rsidRDefault="00A00CB7">
      <w:r>
        <w:rPr>
          <w:b/>
          <w:color w:val="000000"/>
        </w:rPr>
        <w:t>Introduction</w:t>
      </w:r>
    </w:p>
    <w:p w14:paraId="5FC3257E" w14:textId="77777777" w:rsidR="00056AEE" w:rsidRDefault="00A00CB7">
      <w:r>
        <w:rPr>
          <w:color w:val="000000"/>
        </w:rPr>
        <w:t>The present work programme is the first work programme of the Health Cluster under the new strategic plan for Horizon Europe (HE) covering 2025-2027. This marks a significant milestone as the strategic plan (2025-2027) reflects a comprehensive assessment of previous funding efforts under the first four years of Horizon Europe (2021-2024), identifying existing funding gaps, emerging research needs, and future global challenges. Building on these findings, the strategic plan outlines how Horizon Europe can effectively address these challenges.</w:t>
      </w:r>
    </w:p>
    <w:p w14:paraId="5C82409E" w14:textId="77777777" w:rsidR="00056AEE" w:rsidRDefault="00A00CB7">
      <w:r>
        <w:rPr>
          <w:color w:val="000000"/>
        </w:rPr>
        <w:t>The main priorities of the Health Cluster from 2025 to 2027 as outlined in the Horizon Europe strategic plan, are geared towards social cohesion, inclusion, and the overall health and wellbeing of Europeans, in line with the European Pillar of Social Rights. These priorities also emphasise the need to modernise healthcare systems and maintain an innovative, sustainable, and competitive health industry in Europe.</w:t>
      </w:r>
    </w:p>
    <w:p w14:paraId="0BF5D22E" w14:textId="77777777" w:rsidR="00056AEE" w:rsidRDefault="00A00CB7">
      <w:r>
        <w:rPr>
          <w:color w:val="000000"/>
        </w:rPr>
        <w:t>The EU's substantial pre-COVID-19 investments in infectious disease research enabled a swift response to the pandemic, including the development of vaccines. Building on this experience, the establishment of the European Health Emergency Preparedness and Response Authority (HERA) underscores the Commission's commitment to pandemic preparedness. The Health Cluster will continue to invest in this area, supporting the objectives of the European Health Union.</w:t>
      </w:r>
    </w:p>
    <w:p w14:paraId="708CEDF3" w14:textId="77777777" w:rsidR="00056AEE" w:rsidRDefault="00A00CB7">
      <w:r>
        <w:rPr>
          <w:color w:val="000000"/>
        </w:rPr>
        <w:t>The public health impacts of climate change, pollution, and biodiversity loss (the triple planetary crisis) are increasingly concerning. Research and Innovation investments are essential to understanding and mitigating these effects on human health and healthcare systems. This aligns with EU policies such as the European Green Deal and the EU Climate Adaptation Strategy. Additionally, the surge in mental health issues, exacerbated by the pandemic, climate crisis, and other stressors, highlights the need for further Research and Innovation investments in support of the Commission initiative on a comprehensive approach to mental health.</w:t>
      </w:r>
    </w:p>
    <w:p w14:paraId="699168CE" w14:textId="77777777" w:rsidR="00056AEE" w:rsidRDefault="00A00CB7">
      <w:r>
        <w:rPr>
          <w:color w:val="000000"/>
        </w:rPr>
        <w:t>Further investments are necessary to address Europe's long-term challenges related to an ageing population and non-communicable diseases. The Health Cluster will contribute to initiatives such as “Healthier Together - EU Non-communicable Diseases Initiative” and the Cancer Mission, supporting the policy objectives of Europe’s Beating Cancer Plan.</w:t>
      </w:r>
    </w:p>
    <w:p w14:paraId="0A6E8579" w14:textId="77777777" w:rsidR="00056AEE" w:rsidRDefault="00A00CB7">
      <w:r>
        <w:rPr>
          <w:color w:val="000000"/>
        </w:rPr>
        <w:t>Europe's healthcare systems, already strained by demographic changes and chronic conditions, face additional pressures from the energy crisis, inflation, and pandemic-related backlogs. The Health Cluster will explore ways to enhance the resilience of these systems, complementing the work of the European Partnership on Transforming Health and Care Systems. This includes promoting greener practices, addressing health inequities, and leveraging digital transformation.</w:t>
      </w:r>
    </w:p>
    <w:p w14:paraId="4D03363E" w14:textId="77777777" w:rsidR="00056AEE" w:rsidRDefault="00A00CB7">
      <w:r>
        <w:rPr>
          <w:color w:val="000000"/>
        </w:rPr>
        <w:lastRenderedPageBreak/>
        <w:t>Further investments are also needed to leverage the innovation potential of health data and data-driven approaches. The proposed European Health Data Space (EHDS) Regulation will provide a framework for data-based health Research and Innovation activities, ensuring compliance with the EU’s high data protection standards. Critical technologies such as Artificial Intelligence (AI) and biotechnology will be supported to secure EU technological sovereignty in the healthcare sector, in line with the EU “Artificial Intelligence Strategy” and the EU “Biotechnology and Biomanufacturing Strategy”.</w:t>
      </w:r>
    </w:p>
    <w:p w14:paraId="0F44C6B6" w14:textId="77777777" w:rsidR="00056AEE" w:rsidRDefault="00A00CB7">
      <w:r>
        <w:rPr>
          <w:color w:val="000000"/>
        </w:rPr>
        <w:t>Work Programme 2025 will take the first stride in addressing the needs and challenges identified in the strategic plan for 2025-2027 by focusing on key areas such as the health impacts from pollution and environmental degradation, supporting policies like the European Green Deal and the Zero Pollution Action Plan. It will also address non-communicable diseases, mental health, pandemic preparedness, and antimicrobial resistance. This includes new treatment options, AI-based tools for pandemic response, and the European Partnership for Brain Health, as well as measures to improve the quality of life for individuals with intellectual disabilities. Furthermore, the programme aims to enhance healthcare efficiency, patient engagement, and trust in AI tools, in line with the European care strategy and the digital transformation of health and care in the EU. It will support biotechnology and AI to improve healthcare, including cellular and cell-free therapeutic approaches, generative AI models for biomedical research, and bridging the gap between pre-clinical and clinical development. Additionally, it will advance manufacturing processes for medical devices, supporting the EU Industrial Policy, ensuring resilience of the single market, fostering industrial competitiveness, and promoting sustainable practices.</w:t>
      </w:r>
    </w:p>
    <w:p w14:paraId="5C87F3F4" w14:textId="77777777" w:rsidR="00056AEE" w:rsidRDefault="00A00CB7">
      <w:r>
        <w:rPr>
          <w:color w:val="000000"/>
        </w:rPr>
        <w:t>To realise the potential of new Research and Innovation for society, collaboration between research teams and prospective users of the knowledge and technology developed is paramount. It is therefore essential to involve these users - such as patients, healthy citizens, healthcare professionals, providers and payers, public health authorities, regulators, and innovators from academia and industry - early in the process of knowledge generation and technology development. This involvement can take the form of patient and citizen engagement, community involvement, and other social innovation approaches, ensuring that Research and Innovation activities align with the specific expectations, needs, constraints, and potential of users. Furthermore, effective intellectual property management strategies are crucial to maximise the benefits of such cooperation.</w:t>
      </w:r>
    </w:p>
    <w:p w14:paraId="66A6CE8D" w14:textId="77777777" w:rsidR="00056AEE" w:rsidRDefault="00A00CB7">
      <w:r>
        <w:rPr>
          <w:color w:val="000000"/>
        </w:rPr>
        <w:t>It is in the EU’s strategic interest to cooperate with countries beyond the EU, particularly for multilateral cooperation on (global) health issues. This includes countries associated to Horizon Europe as well as other partner countries and regions worldwide. In line with the EU’s Global Approach to Research and Innovation</w:t>
      </w:r>
      <w:r>
        <w:rPr>
          <w:vertAlign w:val="superscript"/>
        </w:rPr>
        <w:footnoteReference w:id="1"/>
      </w:r>
      <w:r>
        <w:rPr>
          <w:color w:val="000000"/>
        </w:rPr>
        <w:t>, participation in the Health Cluster of Horizon Europe is open to third countries. Supporting the Global Gateway Strategy</w:t>
      </w:r>
      <w:r>
        <w:rPr>
          <w:vertAlign w:val="superscript"/>
        </w:rPr>
        <w:footnoteReference w:id="2"/>
      </w:r>
      <w:r>
        <w:rPr>
          <w:color w:val="000000"/>
        </w:rPr>
        <w:t xml:space="preserve">, projects involving international partners should aim to increase scientific knowledge and facilitate technology transfer among partner countries, addressing global health challenges and </w:t>
      </w:r>
      <w:r>
        <w:rPr>
          <w:color w:val="000000"/>
        </w:rPr>
        <w:lastRenderedPageBreak/>
        <w:t>fostering sustainable growth and job creation. Such cooperation should be value-based, creating linkages rather than dependencies.</w:t>
      </w:r>
    </w:p>
    <w:p w14:paraId="284EDB2E" w14:textId="77777777" w:rsidR="00056AEE" w:rsidRDefault="00A00CB7">
      <w:r>
        <w:rPr>
          <w:color w:val="000000"/>
        </w:rPr>
        <w:t>Applicants are encouraged to explore opportunities for synergies between the Health Cluster and other EU programmes</w:t>
      </w:r>
      <w:r>
        <w:rPr>
          <w:vertAlign w:val="superscript"/>
        </w:rPr>
        <w:footnoteReference w:id="3"/>
      </w:r>
      <w:r>
        <w:rPr>
          <w:color w:val="000000"/>
        </w:rPr>
        <w:t xml:space="preserve"> to enhance the reach and impact of their projects, such as through broader stakeholder cooperation and follow-on activities. Synergies are </w:t>
      </w:r>
      <w:proofErr w:type="gramStart"/>
      <w:r>
        <w:rPr>
          <w:color w:val="000000"/>
        </w:rPr>
        <w:t>in particular foreseen</w:t>
      </w:r>
      <w:proofErr w:type="gramEnd"/>
      <w:r>
        <w:rPr>
          <w:color w:val="000000"/>
        </w:rPr>
        <w:t xml:space="preserve"> between the Health Cluster and the EU4Health programme to facilitate the uptake, further development and deployment of new knowledge and technologies in fields such as cancer, non-communicable diseases, mental health, pandemic preparedness and antimicrobial resistance, health systems and digital health. Synergies are also foreseen between the Health Cluster and the Digital Europe Programme to leverage Horizon Europe Research and Innovation results, such as deploying digital, privacy-preserving (distributed) data infrastructures, high-performance computing resources, and developing methods and tools for </w:t>
      </w:r>
      <w:proofErr w:type="spellStart"/>
      <w:r>
        <w:rPr>
          <w:color w:val="000000"/>
        </w:rPr>
        <w:t>modeling</w:t>
      </w:r>
      <w:proofErr w:type="spellEnd"/>
      <w:r>
        <w:rPr>
          <w:color w:val="000000"/>
        </w:rPr>
        <w:t xml:space="preserve"> complex phenomena related to human health.</w:t>
      </w:r>
    </w:p>
    <w:p w14:paraId="743B3306" w14:textId="77777777" w:rsidR="00056AEE" w:rsidRDefault="00A00CB7">
      <w:r>
        <w:rPr>
          <w:color w:val="000000"/>
        </w:rPr>
        <w:t>The European Regional Development Fund (ERDF), focuses, amongst others, on the development and strengthening of regional and local Research and Innovation ecosystems and smart economic transformation, in line with regional/national smart specialisation strategies. The programme can e.g., support investment in research infrastructure, activities for applied Research and Innovation, including industrial research, experimental development and feasibility studies, building on Research and Innovation stemming from Horizon Europe</w:t>
      </w:r>
      <w:r>
        <w:rPr>
          <w:vertAlign w:val="superscript"/>
        </w:rPr>
        <w:footnoteReference w:id="4"/>
      </w:r>
      <w:r>
        <w:rPr>
          <w:color w:val="000000"/>
        </w:rPr>
        <w:t>.</w:t>
      </w:r>
    </w:p>
    <w:p w14:paraId="1E2159AE" w14:textId="77777777" w:rsidR="00056AEE" w:rsidRDefault="00A00CB7">
      <w:r>
        <w:rPr>
          <w:color w:val="000000"/>
        </w:rPr>
        <w:t>To further strengthen the impact of Research and Innovation efforts, Horizon Europe applicants could consider tapping into complementary activities offered by other relevant initiatives funded under the Horizon Europe programme. These include the innovation ecosystems and service provisions of the Knowledge and Innovation Communities (KICs) of the European Institute of Innovation and Technology (EIT), particularly EIT-KIC Health and EIT-KIC Digital, or the interregional networks funded under the European Innovation Ecosystems (EIE) component of Pillar III.</w:t>
      </w:r>
    </w:p>
    <w:p w14:paraId="007A1C4A" w14:textId="77777777" w:rsidR="00056AEE" w:rsidRDefault="00A00CB7">
      <w:r>
        <w:rPr>
          <w:color w:val="000000"/>
        </w:rPr>
        <w:t>In addition, applicants to the Health Cluster are encouraged to explore opportunities for complementary topics and activities in other Clusters or parts of the Horizon Europe programme that address thematically similar challenges and areas of intervention. This can be in the Clusters of Pillar II, in the European Research Infrastructure work programme (Pillar I), or in the European Innovation Council work programme (Pillar III). More specifically, Horizon Europe grantees are invited to consider possible collaborations and cross-fertilisation between their project and other projects selected under the same or other relevant calls.</w:t>
      </w:r>
    </w:p>
    <w:p w14:paraId="679BFF93" w14:textId="77777777" w:rsidR="00056AEE" w:rsidRDefault="00A00CB7">
      <w:r>
        <w:rPr>
          <w:color w:val="000000"/>
        </w:rPr>
        <w:t xml:space="preserve">The EU’s Recovery and Resilience Facility (RRF) offers support to Member States in financing reforms and investments that improve their resilience and their growth potential, </w:t>
      </w:r>
      <w:r>
        <w:rPr>
          <w:color w:val="000000"/>
        </w:rPr>
        <w:lastRenderedPageBreak/>
        <w:t xml:space="preserve">mitigate the economic and social impacts from the COVID-19 crisis, including </w:t>
      </w:r>
      <w:proofErr w:type="gramStart"/>
      <w:r>
        <w:rPr>
          <w:color w:val="000000"/>
        </w:rPr>
        <w:t>in the area of</w:t>
      </w:r>
      <w:proofErr w:type="gramEnd"/>
      <w:r>
        <w:rPr>
          <w:color w:val="000000"/>
        </w:rPr>
        <w:t xml:space="preserve"> health, and support the twin green and digital transitions. For project ideas that go beyond the remits of a Research and Innovation proposal and directly contribute to the objectives of the RRF it is advisable to check access to funding available at national level in line with the Member States’ approved recovery and resilience plans for a fast and targeted support.</w:t>
      </w:r>
    </w:p>
    <w:p w14:paraId="66A88930" w14:textId="77777777" w:rsidR="00056AEE" w:rsidRDefault="00A00CB7">
      <w:r>
        <w:rPr>
          <w:color w:val="000000"/>
        </w:rPr>
        <w:t>For topics in this Cluster, consortia could consider voluntarily contributing data, indicators, and knowledge to relevant Joint Research Centre (JRC) platforms. This would help capitalise on the knowledge developed in their projects and enhance their relevance to policymaking</w:t>
      </w:r>
      <w:r>
        <w:rPr>
          <w:vertAlign w:val="superscript"/>
        </w:rPr>
        <w:footnoteReference w:id="5"/>
      </w:r>
      <w:r>
        <w:rPr>
          <w:color w:val="000000"/>
          <w:vertAlign w:val="superscript"/>
        </w:rPr>
        <w:t>,</w:t>
      </w:r>
      <w:r>
        <w:rPr>
          <w:color w:val="000000"/>
        </w:rPr>
        <w:t xml:space="preserve"> </w:t>
      </w:r>
      <w:r>
        <w:rPr>
          <w:vertAlign w:val="superscript"/>
        </w:rPr>
        <w:footnoteReference w:id="6"/>
      </w:r>
      <w:r>
        <w:rPr>
          <w:color w:val="000000"/>
          <w:vertAlign w:val="superscript"/>
        </w:rPr>
        <w:t>,</w:t>
      </w:r>
      <w:r>
        <w:rPr>
          <w:color w:val="000000"/>
        </w:rPr>
        <w:t xml:space="preserve"> </w:t>
      </w:r>
      <w:r>
        <w:rPr>
          <w:vertAlign w:val="superscript"/>
        </w:rPr>
        <w:footnoteReference w:id="7"/>
      </w:r>
      <w:r>
        <w:rPr>
          <w:color w:val="000000"/>
          <w:vertAlign w:val="superscript"/>
        </w:rPr>
        <w:t>,</w:t>
      </w:r>
      <w:r>
        <w:rPr>
          <w:color w:val="000000"/>
        </w:rPr>
        <w:t xml:space="preserve"> </w:t>
      </w:r>
      <w:r>
        <w:rPr>
          <w:vertAlign w:val="superscript"/>
        </w:rPr>
        <w:footnoteReference w:id="8"/>
      </w:r>
      <w:r>
        <w:rPr>
          <w:color w:val="000000"/>
          <w:vertAlign w:val="superscript"/>
        </w:rPr>
        <w:t>,</w:t>
      </w:r>
      <w:r>
        <w:rPr>
          <w:color w:val="000000"/>
        </w:rPr>
        <w:t xml:space="preserve"> </w:t>
      </w:r>
      <w:r>
        <w:rPr>
          <w:vertAlign w:val="superscript"/>
        </w:rPr>
        <w:footnoteReference w:id="9"/>
      </w:r>
      <w:r>
        <w:rPr>
          <w:color w:val="000000"/>
          <w:vertAlign w:val="superscript"/>
        </w:rPr>
        <w:t>,</w:t>
      </w:r>
      <w:r>
        <w:rPr>
          <w:color w:val="000000"/>
        </w:rPr>
        <w:t xml:space="preserve"> </w:t>
      </w:r>
      <w:r>
        <w:rPr>
          <w:vertAlign w:val="superscript"/>
        </w:rPr>
        <w:footnoteReference w:id="10"/>
      </w:r>
      <w:r>
        <w:rPr>
          <w:color w:val="000000"/>
        </w:rPr>
        <w:t>.</w:t>
      </w:r>
    </w:p>
    <w:p w14:paraId="6AA3D31F" w14:textId="77777777" w:rsidR="00056AEE" w:rsidRDefault="00A00CB7">
      <w:r>
        <w:rPr>
          <w:color w:val="000000"/>
        </w:rPr>
        <w:t>In the context of the Work Programme 2025 of the Health Cluster, FAIR data are data which meet the principles of findability, accessibility, interoperability, and reusability. Data may include, amongst others, exploitation of information, digital research data generated in the action, data from European research infrastructures and programmes such as Copernicus, European Space Agency and the GEO initiative. For further details, see the FAIR principles website</w:t>
      </w:r>
      <w:r>
        <w:rPr>
          <w:vertAlign w:val="superscript"/>
        </w:rPr>
        <w:footnoteReference w:id="11"/>
      </w:r>
      <w:r>
        <w:rPr>
          <w:color w:val="000000"/>
        </w:rPr>
        <w:t>, the FAIR cookbook</w:t>
      </w:r>
      <w:r>
        <w:rPr>
          <w:vertAlign w:val="superscript"/>
        </w:rPr>
        <w:footnoteReference w:id="12"/>
      </w:r>
      <w:r>
        <w:rPr>
          <w:color w:val="000000"/>
        </w:rPr>
        <w:t xml:space="preserve"> and the guides for researchers on how to make your data FAIR</w:t>
      </w:r>
      <w:r>
        <w:rPr>
          <w:vertAlign w:val="superscript"/>
        </w:rPr>
        <w:footnoteReference w:id="13"/>
      </w:r>
      <w:r>
        <w:rPr>
          <w:color w:val="000000"/>
        </w:rPr>
        <w:t>.</w:t>
      </w:r>
    </w:p>
    <w:p w14:paraId="29E7408D" w14:textId="77777777" w:rsidR="00056AEE" w:rsidRDefault="00A00CB7">
      <w:r>
        <w:rPr>
          <w:color w:val="000000"/>
        </w:rPr>
        <w:t>Applicants to calls of the Health Cluster are encouraged to consider, where relevant, the services offered by current and future EU-funded European Research Infrastructures, including those prioritised by the European Strategy Forum on Research Infrastructures (ESFRI)</w:t>
      </w:r>
      <w:r>
        <w:rPr>
          <w:vertAlign w:val="superscript"/>
        </w:rPr>
        <w:footnoteReference w:id="14"/>
      </w:r>
      <w:r>
        <w:rPr>
          <w:color w:val="000000"/>
        </w:rPr>
        <w:t>, European Research Infrastructure Consortia (ERICs)</w:t>
      </w:r>
      <w:r>
        <w:rPr>
          <w:vertAlign w:val="superscript"/>
        </w:rPr>
        <w:footnoteReference w:id="15"/>
      </w:r>
      <w:r>
        <w:rPr>
          <w:color w:val="000000"/>
        </w:rPr>
        <w:t xml:space="preserve"> and the European Open Science Cloud</w:t>
      </w:r>
      <w:r>
        <w:rPr>
          <w:vertAlign w:val="superscript"/>
        </w:rPr>
        <w:footnoteReference w:id="16"/>
      </w:r>
      <w:r>
        <w:rPr>
          <w:color w:val="000000"/>
        </w:rPr>
        <w:t>. Moreover, if projects use satellite-based earth observation, positioning, navigation and/or related timing data and services, they must make use of European space technologies and services provided by Copernicus and/or Galileo/EGNOS (other data and services may additionally be used)</w:t>
      </w:r>
      <w:r>
        <w:rPr>
          <w:vertAlign w:val="superscript"/>
        </w:rPr>
        <w:footnoteReference w:id="17"/>
      </w:r>
      <w:r>
        <w:rPr>
          <w:color w:val="000000"/>
        </w:rPr>
        <w:t>.</w:t>
      </w:r>
    </w:p>
    <w:p w14:paraId="27A43778" w14:textId="77777777" w:rsidR="00056AEE" w:rsidRDefault="00A00CB7">
      <w:r>
        <w:rPr>
          <w:color w:val="000000"/>
        </w:rPr>
        <w:lastRenderedPageBreak/>
        <w:t xml:space="preserve">In the context of Work Programme 2025 of the Health Cluster, a clinical study covers clinical studies/trials/investigations/cohorts and is defined as any systematic prospective or retrospective collection and analysis of health data obtained from individual patients or healthy persons </w:t>
      </w:r>
      <w:proofErr w:type="gramStart"/>
      <w:r>
        <w:rPr>
          <w:color w:val="000000"/>
        </w:rPr>
        <w:t>in order to</w:t>
      </w:r>
      <w:proofErr w:type="gramEnd"/>
      <w:r>
        <w:rPr>
          <w:color w:val="000000"/>
        </w:rPr>
        <w:t xml:space="preserve"> address scientific questions related to the understanding, prevention, diagnosis, monitoring or treatment of a disease, mental illness, or physical condition. It includes but it is not limited to clinical studies as defined by Regulation 536/2014 (on medicinal products), clinical investigation and clinical evaluation as defined by Regulation 2017/745 (on medical devices), performance study and performance evaluation as defined by Regulation 2017/746 (on in vitro diagnostic medical devices).</w:t>
      </w:r>
    </w:p>
    <w:p w14:paraId="61F0ACB1" w14:textId="77777777" w:rsidR="00056AEE" w:rsidRDefault="00A00CB7">
      <w:r>
        <w:rPr>
          <w:color w:val="000000"/>
        </w:rPr>
        <w:t>Please note that the European Union (EU) pharmaceutical legislation known as the Clinical Trials Regulation No 536/2014</w:t>
      </w:r>
      <w:r>
        <w:rPr>
          <w:vertAlign w:val="superscript"/>
        </w:rPr>
        <w:footnoteReference w:id="18"/>
      </w:r>
      <w:r>
        <w:rPr>
          <w:color w:val="000000"/>
        </w:rPr>
        <w:t xml:space="preserve"> entered into application on 31 January 2022, repealing the Clinical Trials Directive (EC) No. 2001/20/EC and national implementing legislation in the EU Member States, which regulated clinical trials in the EU until the Regulation's entry into application. As a result, from 31 January 2023, all initial clinical trial applications in the European Union (EU) must be submitted via the Clinical Trials Information System (CTIS)</w:t>
      </w:r>
      <w:r>
        <w:rPr>
          <w:vertAlign w:val="superscript"/>
        </w:rPr>
        <w:footnoteReference w:id="19"/>
      </w:r>
      <w:r>
        <w:rPr>
          <w:color w:val="000000"/>
        </w:rPr>
        <w:t>. CTIS is now the single-entry point for sponsors and regulators of clinical trials for the submission and assessment of clinical trial data.</w:t>
      </w:r>
    </w:p>
    <w:p w14:paraId="691DE1AF" w14:textId="77777777" w:rsidR="00056AEE" w:rsidRDefault="00A00CB7">
      <w:r>
        <w:rPr>
          <w:color w:val="000000"/>
        </w:rPr>
        <w:t>The Horizon Europe strategic plan (2025-2027) sets out three Key Strategic Orientations (KSOs) for last three years of the EU’s framework programme for Research and Innovation, namely: KSO 1: “The Green Transition,” aiming to support Europe in becoming the world’s first climate-neutral continent by 2050, tackling biodiversity loss and pollution; KSO 2: “The Digital Transition,” focusing on reinforcing Europe's competitiveness and strategic autonomy through research in core digital technologies; and KSO 3: “A More Resilient, Competitive, Inclusive, and Democratic Europe,” aiming to bolster Europe's social rights and democratic values, ensuring they are globally promoted. This includes research in civil security, health and wellbeing, a fair economic model, and democratic participation.</w:t>
      </w:r>
    </w:p>
    <w:p w14:paraId="3A67D92E" w14:textId="77777777" w:rsidR="00056AEE" w:rsidRDefault="00A00CB7">
      <w:r>
        <w:rPr>
          <w:color w:val="000000"/>
        </w:rPr>
        <w:t>The Health Cluster will support these KSOs by enhancing understanding of climate change impacts on health, developing tools to protect against global health challenges, and reducing the sector’s carbon footprint. It will promote technological and digital advancements to improve healthcare systems, focusing on disease prevention, personalised treatment, and equitable access to health services. Additionally, it will foster inclusive and resilient healthcare systems capable of responding to cross-border health threats and demographic changes, leveraging digital technologies such as AI to accelerate health research and improve health outcomes.</w:t>
      </w:r>
    </w:p>
    <w:p w14:paraId="3D03950D" w14:textId="77777777" w:rsidR="00056AEE" w:rsidRDefault="00A00CB7">
      <w:r>
        <w:rPr>
          <w:color w:val="000000"/>
        </w:rPr>
        <w:t>More specifically, the Health Cluster will support the KSOs by contributing to the six expected impacts set out for the Health Cluster in the strategic plan, which translate into the following six destinations of Work Programme 2025:</w:t>
      </w:r>
    </w:p>
    <w:p w14:paraId="4D79D74F" w14:textId="77777777" w:rsidR="00056AEE" w:rsidRDefault="00A00CB7">
      <w:r>
        <w:rPr>
          <w:b/>
          <w:color w:val="000000"/>
        </w:rPr>
        <w:lastRenderedPageBreak/>
        <w:t>Destination “Staying healthy in a rapidly changing society”:</w:t>
      </w:r>
      <w:r>
        <w:rPr>
          <w:color w:val="000000"/>
        </w:rPr>
        <w:t xml:space="preserve"> The expected impact is that 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5645C565" w14:textId="77777777" w:rsidR="00056AEE" w:rsidRDefault="00A00CB7">
      <w:r>
        <w:rPr>
          <w:b/>
          <w:color w:val="000000"/>
        </w:rPr>
        <w:t xml:space="preserve">Destination “Living and working in a health-promoting environment”: </w:t>
      </w:r>
      <w:r>
        <w:rPr>
          <w:color w:val="000000"/>
        </w:rPr>
        <w:t>The expected impact is that people's living and working environments are health-promoting and sustainable thanks to a better understanding of the environmental, occupational, social, sex and gender-related, and economic determinants of health.</w:t>
      </w:r>
    </w:p>
    <w:p w14:paraId="4DB28969" w14:textId="77777777" w:rsidR="00056AEE" w:rsidRDefault="00A00CB7">
      <w:r>
        <w:rPr>
          <w:b/>
          <w:color w:val="000000"/>
        </w:rPr>
        <w:t xml:space="preserve">Destination “Tackling diseases and reducing disease burden”: </w:t>
      </w:r>
      <w:r>
        <w:rPr>
          <w:color w:val="000000"/>
        </w:rPr>
        <w:t>The expected impact is that 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technologies and medical countermeasures, better ability and preparedness to manage pandemic and/or epidemic outbreaks, and improved patient safety.</w:t>
      </w:r>
    </w:p>
    <w:p w14:paraId="554E5331" w14:textId="77777777" w:rsidR="00056AEE" w:rsidRDefault="00A00CB7">
      <w:r>
        <w:rPr>
          <w:b/>
          <w:color w:val="000000"/>
        </w:rPr>
        <w:t xml:space="preserve">Destination “Ensuring equal access to innovative, sustainable, and high-quality healthcare”: </w:t>
      </w:r>
      <w:r>
        <w:rPr>
          <w:color w:val="000000"/>
        </w:rPr>
        <w:t xml:space="preserve">The expected impact is that 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w:t>
      </w:r>
      <w:proofErr w:type="gramStart"/>
      <w:r>
        <w:rPr>
          <w:color w:val="000000"/>
        </w:rPr>
        <w:t>and also</w:t>
      </w:r>
      <w:proofErr w:type="gramEnd"/>
      <w:r>
        <w:rPr>
          <w:color w:val="000000"/>
        </w:rPr>
        <w:t xml:space="preserve"> improved evidence-informed health policies.</w:t>
      </w:r>
    </w:p>
    <w:p w14:paraId="38DA54AB" w14:textId="77777777" w:rsidR="00056AEE" w:rsidRDefault="00A00CB7">
      <w:r>
        <w:rPr>
          <w:b/>
          <w:color w:val="000000"/>
        </w:rPr>
        <w:t>Destination “Developing and using new tools, technologies and digital solutions for a healthy society”:</w:t>
      </w:r>
      <w:r>
        <w:rPr>
          <w:color w:val="000000"/>
        </w:rPr>
        <w:t xml:space="preserve"> The expected impact is that health technologies, data, new tools, and digital solutions are applied effectively thanks to their inclusive, ethically sound, secure and sustainable delivery, integration and deployment in health policies and in health and care systems.</w:t>
      </w:r>
    </w:p>
    <w:p w14:paraId="2AEF041B" w14:textId="77777777" w:rsidR="00056AEE" w:rsidRDefault="00A00CB7">
      <w:r>
        <w:rPr>
          <w:b/>
          <w:color w:val="000000"/>
        </w:rPr>
        <w:t>Destination “Maintaining an innovative, sustainable, and competitive EU health industry”:</w:t>
      </w:r>
      <w:r>
        <w:rPr>
          <w:color w:val="000000"/>
        </w:rPr>
        <w:t xml:space="preserve"> The expected impact is that 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p>
    <w:p w14:paraId="2E7D4D70" w14:textId="77777777" w:rsidR="00056AEE" w:rsidRDefault="00A00CB7">
      <w:pPr>
        <w:pStyle w:val="HeadingOne"/>
        <w:pageBreakBefore/>
      </w:pPr>
      <w:bookmarkStart w:id="1" w:name="_Toc171689848"/>
      <w:r>
        <w:lastRenderedPageBreak/>
        <w:t>Calls</w:t>
      </w:r>
      <w:bookmarkEnd w:id="1"/>
    </w:p>
    <w:p w14:paraId="18107C0F" w14:textId="77777777" w:rsidR="00056AEE" w:rsidRPr="00A00CB7" w:rsidRDefault="00A00CB7">
      <w:pPr>
        <w:pStyle w:val="HeadingTwo"/>
        <w:rPr>
          <w:lang w:val="en-IE"/>
        </w:rPr>
      </w:pPr>
      <w:bookmarkStart w:id="2" w:name="_Toc171689849"/>
      <w:r w:rsidRPr="00A00CB7">
        <w:rPr>
          <w:lang w:val="en-IE"/>
        </w:rPr>
        <w:t>Call - Cluster 1 - Health (Single stage - 2025)</w:t>
      </w:r>
      <w:bookmarkEnd w:id="2"/>
    </w:p>
    <w:p w14:paraId="4B741208" w14:textId="77777777" w:rsidR="00056AEE" w:rsidRDefault="00A00CB7">
      <w:pPr>
        <w:pStyle w:val="CallIdentifier"/>
      </w:pPr>
      <w:r>
        <w:t>HORIZON-HLTH-2025-01</w:t>
      </w:r>
    </w:p>
    <w:p w14:paraId="3EE49ACB" w14:textId="77777777" w:rsidR="00056AEE" w:rsidRDefault="00A00CB7">
      <w:pPr>
        <w:pStyle w:val="HeadingThree"/>
      </w:pPr>
      <w:bookmarkStart w:id="3" w:name="_Toc171689850"/>
      <w:r>
        <w:t>Overview of this call</w:t>
      </w:r>
      <w:r>
        <w:rPr>
          <w:vertAlign w:val="superscript"/>
        </w:rPr>
        <w:footnoteReference w:id="20"/>
      </w:r>
      <w:bookmarkEnd w:id="3"/>
    </w:p>
    <w:p w14:paraId="63132813" w14:textId="77777777" w:rsidR="00056AEE" w:rsidRDefault="00A00CB7">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056AEE" w14:paraId="5FA25611" w14:textId="77777777">
        <w:tc>
          <w:tcPr>
            <w:tcW w:w="2000" w:type="dxa"/>
            <w:vMerge w:val="restart"/>
          </w:tcPr>
          <w:p w14:paraId="70F541EF" w14:textId="77777777" w:rsidR="00056AEE" w:rsidRDefault="00A00CB7">
            <w:pPr>
              <w:pStyle w:val="CellHeaderTextValue"/>
            </w:pPr>
            <w:r>
              <w:t>Topics</w:t>
            </w:r>
          </w:p>
        </w:tc>
        <w:tc>
          <w:tcPr>
            <w:tcW w:w="800" w:type="dxa"/>
            <w:vMerge w:val="restart"/>
          </w:tcPr>
          <w:p w14:paraId="0BEF5049" w14:textId="77777777" w:rsidR="00056AEE" w:rsidRDefault="00A00CB7">
            <w:pPr>
              <w:pStyle w:val="CellHeaderTextValue"/>
            </w:pPr>
            <w:r>
              <w:t>Type of Action</w:t>
            </w:r>
          </w:p>
        </w:tc>
        <w:tc>
          <w:tcPr>
            <w:tcW w:w="0" w:type="auto"/>
          </w:tcPr>
          <w:p w14:paraId="76E7A7B4" w14:textId="77777777" w:rsidR="00056AEE" w:rsidRDefault="00A00CB7">
            <w:pPr>
              <w:pStyle w:val="CellHeaderTextValue"/>
            </w:pPr>
            <w:r>
              <w:t>Budgets (EUR million)</w:t>
            </w:r>
          </w:p>
        </w:tc>
        <w:tc>
          <w:tcPr>
            <w:tcW w:w="0" w:type="auto"/>
            <w:vMerge w:val="restart"/>
          </w:tcPr>
          <w:p w14:paraId="3019A485" w14:textId="77777777" w:rsidR="00056AEE" w:rsidRDefault="00A00CB7">
            <w:pPr>
              <w:pStyle w:val="CellHeaderTextValue"/>
            </w:pPr>
            <w:r>
              <w:t>Expected EU contribution per project (EUR million)</w:t>
            </w:r>
            <w:r>
              <w:rPr>
                <w:vertAlign w:val="superscript"/>
              </w:rPr>
              <w:footnoteReference w:id="21"/>
            </w:r>
          </w:p>
        </w:tc>
        <w:tc>
          <w:tcPr>
            <w:tcW w:w="800" w:type="dxa"/>
            <w:vMerge w:val="restart"/>
          </w:tcPr>
          <w:p w14:paraId="62C94D2B" w14:textId="77777777" w:rsidR="00056AEE" w:rsidRDefault="00A00CB7">
            <w:pPr>
              <w:pStyle w:val="CellHeaderTextValue"/>
            </w:pPr>
            <w:r>
              <w:t>Indicative number of projects expected to be funded</w:t>
            </w:r>
          </w:p>
        </w:tc>
      </w:tr>
      <w:tr w:rsidR="00056AEE" w14:paraId="6FABBBE1" w14:textId="77777777">
        <w:tc>
          <w:tcPr>
            <w:tcW w:w="0" w:type="auto"/>
            <w:vMerge/>
          </w:tcPr>
          <w:p w14:paraId="71CCB625" w14:textId="77777777" w:rsidR="00056AEE" w:rsidRDefault="00056AEE"/>
        </w:tc>
        <w:tc>
          <w:tcPr>
            <w:tcW w:w="0" w:type="auto"/>
            <w:vMerge/>
          </w:tcPr>
          <w:p w14:paraId="55749FD4" w14:textId="77777777" w:rsidR="00056AEE" w:rsidRDefault="00056AEE"/>
        </w:tc>
        <w:tc>
          <w:tcPr>
            <w:tcW w:w="0" w:type="auto"/>
          </w:tcPr>
          <w:p w14:paraId="7624618D" w14:textId="77777777" w:rsidR="00056AEE" w:rsidRDefault="00A00CB7">
            <w:pPr>
              <w:pStyle w:val="CellHeaderTextValue"/>
            </w:pPr>
            <w:r>
              <w:t>2025</w:t>
            </w:r>
          </w:p>
        </w:tc>
        <w:tc>
          <w:tcPr>
            <w:tcW w:w="0" w:type="auto"/>
            <w:vMerge/>
          </w:tcPr>
          <w:p w14:paraId="6CBF60BF" w14:textId="77777777" w:rsidR="00056AEE" w:rsidRDefault="00056AEE"/>
        </w:tc>
        <w:tc>
          <w:tcPr>
            <w:tcW w:w="0" w:type="auto"/>
            <w:vMerge/>
          </w:tcPr>
          <w:p w14:paraId="04EF696A" w14:textId="77777777" w:rsidR="00056AEE" w:rsidRDefault="00056AEE"/>
        </w:tc>
      </w:tr>
      <w:tr w:rsidR="003A38F8" w14:paraId="7142E8F7" w14:textId="77777777" w:rsidTr="003A38F8">
        <w:tc>
          <w:tcPr>
            <w:tcW w:w="0" w:type="auto"/>
            <w:gridSpan w:val="5"/>
          </w:tcPr>
          <w:p w14:paraId="2A53A5AB" w14:textId="77777777" w:rsidR="00056AEE" w:rsidRDefault="00A00CB7">
            <w:pPr>
              <w:pStyle w:val="CellTextValue"/>
              <w:jc w:val="center"/>
            </w:pPr>
            <w:r>
              <w:t>Opening: 22 May 2025</w:t>
            </w:r>
          </w:p>
          <w:p w14:paraId="66075F92" w14:textId="77777777" w:rsidR="00056AEE" w:rsidRDefault="00A00CB7">
            <w:pPr>
              <w:pStyle w:val="CellTextValue"/>
              <w:jc w:val="center"/>
            </w:pPr>
            <w:r>
              <w:t>Deadline(s): 18 Sep 2025</w:t>
            </w:r>
          </w:p>
        </w:tc>
      </w:tr>
      <w:tr w:rsidR="003A38F8" w14:paraId="1AECBA0D" w14:textId="77777777" w:rsidTr="003A38F8">
        <w:tc>
          <w:tcPr>
            <w:tcW w:w="0" w:type="auto"/>
            <w:gridSpan w:val="5"/>
          </w:tcPr>
          <w:p w14:paraId="2EF042CB" w14:textId="77777777" w:rsidR="00056AEE" w:rsidRDefault="00A00CB7">
            <w:pPr>
              <w:pStyle w:val="CellTextValue"/>
            </w:pPr>
            <w:r>
              <w:t>Destination - Developing and using new tools, technologies and digital solutions for a healthy society</w:t>
            </w:r>
          </w:p>
        </w:tc>
      </w:tr>
      <w:tr w:rsidR="00056AEE" w14:paraId="04E3B232" w14:textId="77777777">
        <w:tc>
          <w:tcPr>
            <w:tcW w:w="0" w:type="auto"/>
          </w:tcPr>
          <w:p w14:paraId="06AA52A7" w14:textId="77777777" w:rsidR="00056AEE" w:rsidRDefault="00A00CB7">
            <w:pPr>
              <w:pStyle w:val="CellTextValue"/>
            </w:pPr>
            <w:r>
              <w:t>HORIZON-HLTH-2025-01-TOOL-01: Enhancing cell therapies with synthetic biology</w:t>
            </w:r>
          </w:p>
        </w:tc>
        <w:tc>
          <w:tcPr>
            <w:tcW w:w="0" w:type="auto"/>
          </w:tcPr>
          <w:p w14:paraId="4F31808C" w14:textId="77777777" w:rsidR="00056AEE" w:rsidRDefault="00A00CB7">
            <w:pPr>
              <w:pStyle w:val="CellTextValue"/>
            </w:pPr>
            <w:r>
              <w:t>RIA</w:t>
            </w:r>
          </w:p>
        </w:tc>
        <w:tc>
          <w:tcPr>
            <w:tcW w:w="0" w:type="auto"/>
            <w:vMerge w:val="restart"/>
          </w:tcPr>
          <w:p w14:paraId="391D5752" w14:textId="77777777" w:rsidR="00056AEE" w:rsidRDefault="00A00CB7">
            <w:pPr>
              <w:pStyle w:val="CellTextValue"/>
            </w:pPr>
            <w:r>
              <w:t>50.00</w:t>
            </w:r>
          </w:p>
        </w:tc>
        <w:tc>
          <w:tcPr>
            <w:tcW w:w="0" w:type="auto"/>
          </w:tcPr>
          <w:p w14:paraId="35ABC42C" w14:textId="77777777" w:rsidR="00056AEE" w:rsidRDefault="00A00CB7">
            <w:pPr>
              <w:pStyle w:val="CellTextValue"/>
            </w:pPr>
            <w:r>
              <w:t>8.00 to 12.00</w:t>
            </w:r>
          </w:p>
        </w:tc>
        <w:tc>
          <w:tcPr>
            <w:tcW w:w="0" w:type="auto"/>
          </w:tcPr>
          <w:p w14:paraId="1991AE98" w14:textId="77777777" w:rsidR="00056AEE" w:rsidRDefault="00A00CB7">
            <w:pPr>
              <w:pStyle w:val="CellTextValue"/>
            </w:pPr>
            <w:r>
              <w:t>5</w:t>
            </w:r>
          </w:p>
        </w:tc>
      </w:tr>
      <w:tr w:rsidR="00056AEE" w14:paraId="67B8ECB7" w14:textId="77777777">
        <w:tc>
          <w:tcPr>
            <w:tcW w:w="0" w:type="auto"/>
          </w:tcPr>
          <w:p w14:paraId="2E37EBC0" w14:textId="77777777" w:rsidR="00056AEE" w:rsidRDefault="00A00CB7">
            <w:pPr>
              <w:pStyle w:val="CellTextValue"/>
            </w:pPr>
            <w:r>
              <w:t xml:space="preserve">HORIZON-HLTH-2025-01-TOOL-02: Advancing cell </w:t>
            </w:r>
            <w:proofErr w:type="spellStart"/>
            <w:r>
              <w:t>secretome</w:t>
            </w:r>
            <w:proofErr w:type="spellEnd"/>
            <w:r>
              <w:t>-based therapies</w:t>
            </w:r>
          </w:p>
        </w:tc>
        <w:tc>
          <w:tcPr>
            <w:tcW w:w="0" w:type="auto"/>
          </w:tcPr>
          <w:p w14:paraId="325BF872" w14:textId="77777777" w:rsidR="00056AEE" w:rsidRDefault="00A00CB7">
            <w:pPr>
              <w:pStyle w:val="CellTextValue"/>
            </w:pPr>
            <w:r>
              <w:t>RIA</w:t>
            </w:r>
          </w:p>
        </w:tc>
        <w:tc>
          <w:tcPr>
            <w:tcW w:w="0" w:type="auto"/>
            <w:vMerge w:val="restart"/>
          </w:tcPr>
          <w:p w14:paraId="0D570323" w14:textId="77777777" w:rsidR="00056AEE" w:rsidRDefault="00A00CB7">
            <w:pPr>
              <w:pStyle w:val="CellTextValue"/>
            </w:pPr>
            <w:r>
              <w:t>40.00</w:t>
            </w:r>
          </w:p>
        </w:tc>
        <w:tc>
          <w:tcPr>
            <w:tcW w:w="0" w:type="auto"/>
          </w:tcPr>
          <w:p w14:paraId="5E200166" w14:textId="77777777" w:rsidR="00056AEE" w:rsidRDefault="00A00CB7">
            <w:pPr>
              <w:pStyle w:val="CellTextValue"/>
            </w:pPr>
            <w:r>
              <w:t>10.00 to 15.00</w:t>
            </w:r>
          </w:p>
        </w:tc>
        <w:tc>
          <w:tcPr>
            <w:tcW w:w="0" w:type="auto"/>
          </w:tcPr>
          <w:p w14:paraId="0CE27BED" w14:textId="77777777" w:rsidR="00056AEE" w:rsidRDefault="00A00CB7">
            <w:pPr>
              <w:pStyle w:val="CellTextValue"/>
            </w:pPr>
            <w:r>
              <w:t>3</w:t>
            </w:r>
          </w:p>
        </w:tc>
      </w:tr>
      <w:tr w:rsidR="00056AEE" w14:paraId="64F5557A" w14:textId="77777777">
        <w:tc>
          <w:tcPr>
            <w:tcW w:w="0" w:type="auto"/>
          </w:tcPr>
          <w:p w14:paraId="3C5E1C78" w14:textId="77777777" w:rsidR="00056AEE" w:rsidRDefault="00A00CB7">
            <w:pPr>
              <w:pStyle w:val="CellTextValue"/>
            </w:pPr>
            <w:r>
              <w:t>HORIZON-HLTH-2025-01-TOOL-03: Leveraging multimodal data to advance Generative Artificial Intelligence applicability in biomedical research (GenAI4EU)</w:t>
            </w:r>
          </w:p>
        </w:tc>
        <w:tc>
          <w:tcPr>
            <w:tcW w:w="0" w:type="auto"/>
          </w:tcPr>
          <w:p w14:paraId="01770855" w14:textId="77777777" w:rsidR="00056AEE" w:rsidRDefault="00A00CB7">
            <w:pPr>
              <w:pStyle w:val="CellTextValue"/>
            </w:pPr>
            <w:r>
              <w:t>RIA</w:t>
            </w:r>
          </w:p>
        </w:tc>
        <w:tc>
          <w:tcPr>
            <w:tcW w:w="0" w:type="auto"/>
            <w:vMerge w:val="restart"/>
          </w:tcPr>
          <w:p w14:paraId="4E874519" w14:textId="77777777" w:rsidR="00056AEE" w:rsidRDefault="00A00CB7">
            <w:pPr>
              <w:pStyle w:val="CellTextValue"/>
            </w:pPr>
            <w:r>
              <w:t>50.00</w:t>
            </w:r>
          </w:p>
        </w:tc>
        <w:tc>
          <w:tcPr>
            <w:tcW w:w="0" w:type="auto"/>
          </w:tcPr>
          <w:p w14:paraId="3672ADF8" w14:textId="77777777" w:rsidR="00056AEE" w:rsidRDefault="00A00CB7">
            <w:pPr>
              <w:pStyle w:val="CellTextValue"/>
            </w:pPr>
            <w:r>
              <w:t>15.00 to 17.00</w:t>
            </w:r>
          </w:p>
        </w:tc>
        <w:tc>
          <w:tcPr>
            <w:tcW w:w="0" w:type="auto"/>
          </w:tcPr>
          <w:p w14:paraId="6888D8E2" w14:textId="77777777" w:rsidR="00056AEE" w:rsidRDefault="00A00CB7">
            <w:pPr>
              <w:pStyle w:val="CellTextValue"/>
            </w:pPr>
            <w:r>
              <w:t>3</w:t>
            </w:r>
          </w:p>
        </w:tc>
      </w:tr>
      <w:tr w:rsidR="00056AEE" w14:paraId="1289942B" w14:textId="77777777">
        <w:tc>
          <w:tcPr>
            <w:tcW w:w="0" w:type="auto"/>
          </w:tcPr>
          <w:p w14:paraId="32DD216E" w14:textId="77777777" w:rsidR="00056AEE" w:rsidRDefault="00A00CB7">
            <w:pPr>
              <w:pStyle w:val="CellTextValue"/>
            </w:pPr>
            <w:r>
              <w:t>HORIZON-HLTH-2025-01-TOOL-05: Boosting the translation of biotech research into innovative health therapies</w:t>
            </w:r>
          </w:p>
        </w:tc>
        <w:tc>
          <w:tcPr>
            <w:tcW w:w="0" w:type="auto"/>
          </w:tcPr>
          <w:p w14:paraId="68585951" w14:textId="77777777" w:rsidR="00056AEE" w:rsidRDefault="00A00CB7">
            <w:pPr>
              <w:pStyle w:val="CellTextValue"/>
            </w:pPr>
            <w:r>
              <w:t>RIA</w:t>
            </w:r>
          </w:p>
        </w:tc>
        <w:tc>
          <w:tcPr>
            <w:tcW w:w="0" w:type="auto"/>
            <w:vMerge w:val="restart"/>
          </w:tcPr>
          <w:p w14:paraId="206768E5" w14:textId="77777777" w:rsidR="00056AEE" w:rsidRDefault="00A00CB7">
            <w:pPr>
              <w:pStyle w:val="CellTextValue"/>
            </w:pPr>
            <w:r>
              <w:t>80.00</w:t>
            </w:r>
          </w:p>
        </w:tc>
        <w:tc>
          <w:tcPr>
            <w:tcW w:w="0" w:type="auto"/>
          </w:tcPr>
          <w:p w14:paraId="3A2FE552" w14:textId="77777777" w:rsidR="00056AEE" w:rsidRDefault="00A00CB7">
            <w:pPr>
              <w:pStyle w:val="CellTextValue"/>
            </w:pPr>
            <w:r>
              <w:t>6.00 to 8.00</w:t>
            </w:r>
          </w:p>
        </w:tc>
        <w:tc>
          <w:tcPr>
            <w:tcW w:w="0" w:type="auto"/>
          </w:tcPr>
          <w:p w14:paraId="5A7D433E" w14:textId="77777777" w:rsidR="00056AEE" w:rsidRDefault="00A00CB7">
            <w:pPr>
              <w:pStyle w:val="CellTextValue"/>
            </w:pPr>
            <w:r>
              <w:t>10</w:t>
            </w:r>
          </w:p>
        </w:tc>
      </w:tr>
      <w:tr w:rsidR="003A38F8" w14:paraId="06A11788" w14:textId="77777777" w:rsidTr="003A38F8">
        <w:tc>
          <w:tcPr>
            <w:tcW w:w="0" w:type="auto"/>
            <w:gridSpan w:val="5"/>
          </w:tcPr>
          <w:p w14:paraId="4305E5A6" w14:textId="77777777" w:rsidR="00056AEE" w:rsidRDefault="00A00CB7">
            <w:pPr>
              <w:pStyle w:val="CellTextValue"/>
            </w:pPr>
            <w:r>
              <w:lastRenderedPageBreak/>
              <w:t>Destination - Ensuring equal access to innovative, sustainable, and high-quality healthcare</w:t>
            </w:r>
          </w:p>
        </w:tc>
      </w:tr>
      <w:tr w:rsidR="00056AEE" w14:paraId="1903C2BB" w14:textId="77777777">
        <w:tc>
          <w:tcPr>
            <w:tcW w:w="0" w:type="auto"/>
          </w:tcPr>
          <w:p w14:paraId="6D107473" w14:textId="77777777" w:rsidR="00056AEE" w:rsidRDefault="00A00CB7">
            <w:pPr>
              <w:pStyle w:val="CellTextValue"/>
            </w:pPr>
            <w:r>
              <w:t>HORIZON-HLTH-2025-01-CARE-01: End user-driven application of Generative Artificial Intelligence models in healthcare (GenAI4EU)</w:t>
            </w:r>
          </w:p>
        </w:tc>
        <w:tc>
          <w:tcPr>
            <w:tcW w:w="0" w:type="auto"/>
          </w:tcPr>
          <w:p w14:paraId="2B505AE3" w14:textId="77777777" w:rsidR="00056AEE" w:rsidRDefault="00A00CB7">
            <w:pPr>
              <w:pStyle w:val="CellTextValue"/>
            </w:pPr>
            <w:r>
              <w:t>RIA</w:t>
            </w:r>
          </w:p>
        </w:tc>
        <w:tc>
          <w:tcPr>
            <w:tcW w:w="0" w:type="auto"/>
            <w:vMerge w:val="restart"/>
          </w:tcPr>
          <w:p w14:paraId="44BB7AB9" w14:textId="77777777" w:rsidR="00056AEE" w:rsidRDefault="00A00CB7">
            <w:pPr>
              <w:pStyle w:val="CellTextValue"/>
            </w:pPr>
            <w:r>
              <w:t>40.00</w:t>
            </w:r>
          </w:p>
        </w:tc>
        <w:tc>
          <w:tcPr>
            <w:tcW w:w="0" w:type="auto"/>
          </w:tcPr>
          <w:p w14:paraId="675FF740" w14:textId="77777777" w:rsidR="00056AEE" w:rsidRDefault="00A00CB7">
            <w:pPr>
              <w:pStyle w:val="CellTextValue"/>
            </w:pPr>
            <w:r>
              <w:t>15.00 to 20.00</w:t>
            </w:r>
          </w:p>
        </w:tc>
        <w:tc>
          <w:tcPr>
            <w:tcW w:w="0" w:type="auto"/>
          </w:tcPr>
          <w:p w14:paraId="679D4F9A" w14:textId="77777777" w:rsidR="00056AEE" w:rsidRDefault="00A00CB7">
            <w:pPr>
              <w:pStyle w:val="CellTextValue"/>
            </w:pPr>
            <w:r>
              <w:t>3</w:t>
            </w:r>
          </w:p>
        </w:tc>
      </w:tr>
      <w:tr w:rsidR="003A38F8" w14:paraId="0FF611D9" w14:textId="77777777" w:rsidTr="003A38F8">
        <w:tc>
          <w:tcPr>
            <w:tcW w:w="0" w:type="auto"/>
            <w:gridSpan w:val="5"/>
          </w:tcPr>
          <w:p w14:paraId="4052361B" w14:textId="77777777" w:rsidR="00056AEE" w:rsidRDefault="00A00CB7">
            <w:pPr>
              <w:pStyle w:val="CellTextValue"/>
            </w:pPr>
            <w:r>
              <w:t>Destination - Living and working in a health-promoting environment</w:t>
            </w:r>
          </w:p>
        </w:tc>
      </w:tr>
      <w:tr w:rsidR="00056AEE" w14:paraId="6620EBF2" w14:textId="77777777">
        <w:tc>
          <w:tcPr>
            <w:tcW w:w="0" w:type="auto"/>
          </w:tcPr>
          <w:p w14:paraId="6E17630F" w14:textId="77777777" w:rsidR="00056AEE" w:rsidRDefault="00A00CB7">
            <w:pPr>
              <w:pStyle w:val="CellTextValue"/>
            </w:pPr>
            <w:r>
              <w:t>HORIZON-HLTH-2025-01-ENVHLTH-01: The impact of pollution on the development and progression of brain diseases and disorders</w:t>
            </w:r>
          </w:p>
        </w:tc>
        <w:tc>
          <w:tcPr>
            <w:tcW w:w="0" w:type="auto"/>
          </w:tcPr>
          <w:p w14:paraId="12401D41" w14:textId="77777777" w:rsidR="00056AEE" w:rsidRDefault="00A00CB7">
            <w:pPr>
              <w:pStyle w:val="CellTextValue"/>
            </w:pPr>
            <w:r>
              <w:t>RIA</w:t>
            </w:r>
          </w:p>
        </w:tc>
        <w:tc>
          <w:tcPr>
            <w:tcW w:w="0" w:type="auto"/>
            <w:vMerge w:val="restart"/>
          </w:tcPr>
          <w:p w14:paraId="40AF022E" w14:textId="77777777" w:rsidR="00056AEE" w:rsidRDefault="00A00CB7">
            <w:pPr>
              <w:pStyle w:val="CellTextValue"/>
            </w:pPr>
            <w:r>
              <w:t>45.00</w:t>
            </w:r>
          </w:p>
        </w:tc>
        <w:tc>
          <w:tcPr>
            <w:tcW w:w="0" w:type="auto"/>
          </w:tcPr>
          <w:p w14:paraId="14F38810" w14:textId="77777777" w:rsidR="00056AEE" w:rsidRDefault="00A00CB7">
            <w:pPr>
              <w:pStyle w:val="CellTextValue"/>
            </w:pPr>
            <w:r>
              <w:t>7.00 to 8.00</w:t>
            </w:r>
          </w:p>
        </w:tc>
        <w:tc>
          <w:tcPr>
            <w:tcW w:w="0" w:type="auto"/>
          </w:tcPr>
          <w:p w14:paraId="5DB7901F" w14:textId="77777777" w:rsidR="00056AEE" w:rsidRDefault="00A00CB7">
            <w:pPr>
              <w:pStyle w:val="CellTextValue"/>
            </w:pPr>
            <w:r>
              <w:t>6</w:t>
            </w:r>
          </w:p>
        </w:tc>
      </w:tr>
      <w:tr w:rsidR="00056AEE" w14:paraId="38035D40" w14:textId="77777777">
        <w:tc>
          <w:tcPr>
            <w:tcW w:w="0" w:type="auto"/>
          </w:tcPr>
          <w:p w14:paraId="18089854" w14:textId="77777777" w:rsidR="00056AEE" w:rsidRDefault="00A00CB7">
            <w:pPr>
              <w:pStyle w:val="CellTextValue"/>
            </w:pPr>
            <w:r>
              <w:t xml:space="preserve">HORIZON-HLTH-2025-01-ENVHLTH-02: Advancing knowledge on the impacts of micro- and </w:t>
            </w:r>
            <w:proofErr w:type="spellStart"/>
            <w:r>
              <w:t>nanoplastics</w:t>
            </w:r>
            <w:proofErr w:type="spellEnd"/>
            <w:r>
              <w:t xml:space="preserve"> on human health</w:t>
            </w:r>
          </w:p>
        </w:tc>
        <w:tc>
          <w:tcPr>
            <w:tcW w:w="0" w:type="auto"/>
          </w:tcPr>
          <w:p w14:paraId="1CC89A32" w14:textId="77777777" w:rsidR="00056AEE" w:rsidRDefault="00A00CB7">
            <w:pPr>
              <w:pStyle w:val="CellTextValue"/>
            </w:pPr>
            <w:r>
              <w:t>RIA</w:t>
            </w:r>
          </w:p>
        </w:tc>
        <w:tc>
          <w:tcPr>
            <w:tcW w:w="0" w:type="auto"/>
            <w:vMerge w:val="restart"/>
          </w:tcPr>
          <w:p w14:paraId="56D0352C" w14:textId="77777777" w:rsidR="00056AEE" w:rsidRDefault="00A00CB7">
            <w:pPr>
              <w:pStyle w:val="CellTextValue"/>
            </w:pPr>
            <w:r>
              <w:t>35.00</w:t>
            </w:r>
          </w:p>
        </w:tc>
        <w:tc>
          <w:tcPr>
            <w:tcW w:w="0" w:type="auto"/>
          </w:tcPr>
          <w:p w14:paraId="0C94BDFE" w14:textId="77777777" w:rsidR="00056AEE" w:rsidRDefault="00A00CB7">
            <w:pPr>
              <w:pStyle w:val="CellTextValue"/>
            </w:pPr>
            <w:r>
              <w:t>5.00 to 6.00</w:t>
            </w:r>
          </w:p>
        </w:tc>
        <w:tc>
          <w:tcPr>
            <w:tcW w:w="0" w:type="auto"/>
          </w:tcPr>
          <w:p w14:paraId="4149670E" w14:textId="77777777" w:rsidR="00056AEE" w:rsidRDefault="00A00CB7">
            <w:pPr>
              <w:pStyle w:val="CellTextValue"/>
            </w:pPr>
            <w:r>
              <w:t>6</w:t>
            </w:r>
          </w:p>
        </w:tc>
      </w:tr>
      <w:tr w:rsidR="003A38F8" w14:paraId="34E3C2BE" w14:textId="77777777" w:rsidTr="003A38F8">
        <w:tc>
          <w:tcPr>
            <w:tcW w:w="0" w:type="auto"/>
            <w:gridSpan w:val="5"/>
          </w:tcPr>
          <w:p w14:paraId="741D3FEE" w14:textId="77777777" w:rsidR="00056AEE" w:rsidRDefault="00A00CB7">
            <w:pPr>
              <w:pStyle w:val="CellTextValue"/>
            </w:pPr>
            <w:r>
              <w:t>Destination - Maintaining an innovative, sustainable, and competitive EU health industry</w:t>
            </w:r>
          </w:p>
        </w:tc>
      </w:tr>
      <w:tr w:rsidR="00056AEE" w14:paraId="0F021E45" w14:textId="77777777">
        <w:tc>
          <w:tcPr>
            <w:tcW w:w="0" w:type="auto"/>
          </w:tcPr>
          <w:p w14:paraId="20B2C453" w14:textId="77777777" w:rsidR="00056AEE" w:rsidRDefault="00A00CB7">
            <w:pPr>
              <w:pStyle w:val="CellTextValue"/>
            </w:pPr>
            <w:r>
              <w:t>HORIZON-HLTH-2025-01-IND-01: Optimising the manufacturing of Advanced Therapy Medicinal Products (ATMPs)</w:t>
            </w:r>
          </w:p>
        </w:tc>
        <w:tc>
          <w:tcPr>
            <w:tcW w:w="0" w:type="auto"/>
          </w:tcPr>
          <w:p w14:paraId="05225AB4" w14:textId="77777777" w:rsidR="00056AEE" w:rsidRDefault="00A00CB7">
            <w:pPr>
              <w:pStyle w:val="CellTextValue"/>
            </w:pPr>
            <w:r>
              <w:t>IA</w:t>
            </w:r>
          </w:p>
        </w:tc>
        <w:tc>
          <w:tcPr>
            <w:tcW w:w="0" w:type="auto"/>
            <w:vMerge w:val="restart"/>
          </w:tcPr>
          <w:p w14:paraId="11FE67DC" w14:textId="77777777" w:rsidR="00056AEE" w:rsidRDefault="00A00CB7">
            <w:pPr>
              <w:pStyle w:val="CellTextValue"/>
            </w:pPr>
            <w:r>
              <w:t>35.00</w:t>
            </w:r>
          </w:p>
        </w:tc>
        <w:tc>
          <w:tcPr>
            <w:tcW w:w="0" w:type="auto"/>
          </w:tcPr>
          <w:p w14:paraId="67E32CCD" w14:textId="77777777" w:rsidR="00056AEE" w:rsidRDefault="00A00CB7">
            <w:pPr>
              <w:pStyle w:val="CellTextValue"/>
            </w:pPr>
            <w:r>
              <w:t>5.00 to 7.00</w:t>
            </w:r>
          </w:p>
        </w:tc>
        <w:tc>
          <w:tcPr>
            <w:tcW w:w="0" w:type="auto"/>
          </w:tcPr>
          <w:p w14:paraId="113A9210" w14:textId="77777777" w:rsidR="00056AEE" w:rsidRDefault="00A00CB7">
            <w:pPr>
              <w:pStyle w:val="CellTextValue"/>
            </w:pPr>
            <w:r>
              <w:t>5</w:t>
            </w:r>
          </w:p>
        </w:tc>
      </w:tr>
      <w:tr w:rsidR="00056AEE" w14:paraId="76B85032" w14:textId="77777777">
        <w:tc>
          <w:tcPr>
            <w:tcW w:w="0" w:type="auto"/>
          </w:tcPr>
          <w:p w14:paraId="5F500838" w14:textId="77777777" w:rsidR="00056AEE" w:rsidRDefault="00A00CB7">
            <w:pPr>
              <w:pStyle w:val="CellTextValue"/>
            </w:pPr>
            <w:r>
              <w:t>HORIZON-HLTH-2025-01-IND-02: Digitalisation of conformity assessment procedures of medical devices and in vitro diagnostic medical devices</w:t>
            </w:r>
          </w:p>
        </w:tc>
        <w:tc>
          <w:tcPr>
            <w:tcW w:w="0" w:type="auto"/>
          </w:tcPr>
          <w:p w14:paraId="1C582D4E" w14:textId="77777777" w:rsidR="00056AEE" w:rsidRDefault="00A00CB7">
            <w:pPr>
              <w:pStyle w:val="CellTextValue"/>
            </w:pPr>
            <w:r>
              <w:t>CSA</w:t>
            </w:r>
          </w:p>
        </w:tc>
        <w:tc>
          <w:tcPr>
            <w:tcW w:w="0" w:type="auto"/>
            <w:vMerge w:val="restart"/>
          </w:tcPr>
          <w:p w14:paraId="7DCEBE75" w14:textId="77777777" w:rsidR="00056AEE" w:rsidRDefault="00A00CB7">
            <w:pPr>
              <w:pStyle w:val="CellTextValue"/>
            </w:pPr>
            <w:r>
              <w:t>4.00</w:t>
            </w:r>
          </w:p>
        </w:tc>
        <w:tc>
          <w:tcPr>
            <w:tcW w:w="0" w:type="auto"/>
          </w:tcPr>
          <w:p w14:paraId="7F6D8663" w14:textId="77777777" w:rsidR="00056AEE" w:rsidRDefault="00A00CB7">
            <w:pPr>
              <w:pStyle w:val="CellTextValue"/>
            </w:pPr>
            <w:r>
              <w:t>Around 4.00</w:t>
            </w:r>
          </w:p>
        </w:tc>
        <w:tc>
          <w:tcPr>
            <w:tcW w:w="0" w:type="auto"/>
          </w:tcPr>
          <w:p w14:paraId="27C975C8" w14:textId="77777777" w:rsidR="00056AEE" w:rsidRDefault="00A00CB7">
            <w:pPr>
              <w:pStyle w:val="CellTextValue"/>
            </w:pPr>
            <w:r>
              <w:t>1</w:t>
            </w:r>
          </w:p>
        </w:tc>
      </w:tr>
      <w:tr w:rsidR="00056AEE" w14:paraId="5EE2DB5F" w14:textId="77777777">
        <w:tc>
          <w:tcPr>
            <w:tcW w:w="0" w:type="auto"/>
          </w:tcPr>
          <w:p w14:paraId="17E98680" w14:textId="77777777" w:rsidR="00056AEE" w:rsidRDefault="00A00CB7">
            <w:pPr>
              <w:pStyle w:val="CellTextValue"/>
            </w:pPr>
            <w:r>
              <w:t>HORIZON-HLTH-2025-01-IND-03: Facilitating the conduct of multinational clinical studies of orphan devices and/or of highly innovative (“breakthrough”) devices</w:t>
            </w:r>
          </w:p>
        </w:tc>
        <w:tc>
          <w:tcPr>
            <w:tcW w:w="0" w:type="auto"/>
          </w:tcPr>
          <w:p w14:paraId="74D9AB8C" w14:textId="77777777" w:rsidR="00056AEE" w:rsidRDefault="00A00CB7">
            <w:pPr>
              <w:pStyle w:val="CellTextValue"/>
            </w:pPr>
            <w:r>
              <w:t>RIA</w:t>
            </w:r>
          </w:p>
        </w:tc>
        <w:tc>
          <w:tcPr>
            <w:tcW w:w="0" w:type="auto"/>
            <w:vMerge w:val="restart"/>
          </w:tcPr>
          <w:p w14:paraId="5D970BE6" w14:textId="77777777" w:rsidR="00056AEE" w:rsidRDefault="00A00CB7">
            <w:pPr>
              <w:pStyle w:val="CellTextValue"/>
            </w:pPr>
            <w:r>
              <w:t>30.00</w:t>
            </w:r>
          </w:p>
        </w:tc>
        <w:tc>
          <w:tcPr>
            <w:tcW w:w="0" w:type="auto"/>
          </w:tcPr>
          <w:p w14:paraId="06B06215" w14:textId="77777777" w:rsidR="00056AEE" w:rsidRDefault="00A00CB7">
            <w:pPr>
              <w:pStyle w:val="CellTextValue"/>
            </w:pPr>
            <w:r>
              <w:t>4.00 to 6.00</w:t>
            </w:r>
          </w:p>
        </w:tc>
        <w:tc>
          <w:tcPr>
            <w:tcW w:w="0" w:type="auto"/>
          </w:tcPr>
          <w:p w14:paraId="37AF65D8" w14:textId="77777777" w:rsidR="00056AEE" w:rsidRDefault="00A00CB7">
            <w:pPr>
              <w:pStyle w:val="CellTextValue"/>
            </w:pPr>
            <w:r>
              <w:t>5</w:t>
            </w:r>
          </w:p>
        </w:tc>
      </w:tr>
      <w:tr w:rsidR="003A38F8" w14:paraId="0A83643C" w14:textId="77777777" w:rsidTr="003A38F8">
        <w:tc>
          <w:tcPr>
            <w:tcW w:w="0" w:type="auto"/>
            <w:gridSpan w:val="5"/>
          </w:tcPr>
          <w:p w14:paraId="4006A56D" w14:textId="77777777" w:rsidR="00056AEE" w:rsidRDefault="00A00CB7">
            <w:pPr>
              <w:pStyle w:val="CellTextValue"/>
            </w:pPr>
            <w:r>
              <w:t>Destination - Staying healthy in a rapidly changing society</w:t>
            </w:r>
          </w:p>
        </w:tc>
      </w:tr>
      <w:tr w:rsidR="00056AEE" w14:paraId="091EA8E2" w14:textId="77777777">
        <w:tc>
          <w:tcPr>
            <w:tcW w:w="0" w:type="auto"/>
          </w:tcPr>
          <w:p w14:paraId="6DA90E30" w14:textId="77777777" w:rsidR="00056AEE" w:rsidRDefault="00A00CB7">
            <w:pPr>
              <w:pStyle w:val="CellTextValue"/>
            </w:pPr>
            <w:r>
              <w:t>HORIZON-HLTH-2025-01-STAYHLTH-01: Improving the quality of life of persons with intellectual disabilities and their families</w:t>
            </w:r>
          </w:p>
        </w:tc>
        <w:tc>
          <w:tcPr>
            <w:tcW w:w="0" w:type="auto"/>
          </w:tcPr>
          <w:p w14:paraId="099230B7" w14:textId="77777777" w:rsidR="00056AEE" w:rsidRDefault="00A00CB7">
            <w:pPr>
              <w:pStyle w:val="CellTextValue"/>
            </w:pPr>
            <w:r>
              <w:t>RIA</w:t>
            </w:r>
          </w:p>
        </w:tc>
        <w:tc>
          <w:tcPr>
            <w:tcW w:w="0" w:type="auto"/>
            <w:vMerge w:val="restart"/>
          </w:tcPr>
          <w:p w14:paraId="486397E6" w14:textId="77777777" w:rsidR="00056AEE" w:rsidRDefault="00A00CB7">
            <w:pPr>
              <w:pStyle w:val="CellTextValue"/>
            </w:pPr>
            <w:r>
              <w:t>40.00</w:t>
            </w:r>
          </w:p>
        </w:tc>
        <w:tc>
          <w:tcPr>
            <w:tcW w:w="0" w:type="auto"/>
          </w:tcPr>
          <w:p w14:paraId="2FC72DF8" w14:textId="77777777" w:rsidR="00056AEE" w:rsidRDefault="00A00CB7">
            <w:pPr>
              <w:pStyle w:val="CellTextValue"/>
            </w:pPr>
            <w:r>
              <w:t>6.00 to 8.00</w:t>
            </w:r>
          </w:p>
        </w:tc>
        <w:tc>
          <w:tcPr>
            <w:tcW w:w="0" w:type="auto"/>
          </w:tcPr>
          <w:p w14:paraId="073B4DA7" w14:textId="77777777" w:rsidR="00056AEE" w:rsidRDefault="00A00CB7">
            <w:pPr>
              <w:pStyle w:val="CellTextValue"/>
            </w:pPr>
            <w:r>
              <w:t>5</w:t>
            </w:r>
          </w:p>
        </w:tc>
      </w:tr>
      <w:tr w:rsidR="003A38F8" w14:paraId="317EC1B3" w14:textId="77777777" w:rsidTr="003A38F8">
        <w:tc>
          <w:tcPr>
            <w:tcW w:w="0" w:type="auto"/>
            <w:gridSpan w:val="5"/>
          </w:tcPr>
          <w:p w14:paraId="784195D4" w14:textId="77777777" w:rsidR="00056AEE" w:rsidRDefault="00A00CB7">
            <w:pPr>
              <w:pStyle w:val="CellTextValue"/>
            </w:pPr>
            <w:r>
              <w:t>Destination - Tackling diseases and reducing disease burden</w:t>
            </w:r>
          </w:p>
        </w:tc>
      </w:tr>
      <w:tr w:rsidR="00056AEE" w14:paraId="43645FE1" w14:textId="77777777">
        <w:tc>
          <w:tcPr>
            <w:tcW w:w="0" w:type="auto"/>
          </w:tcPr>
          <w:p w14:paraId="66D9BFF9" w14:textId="77777777" w:rsidR="00056AEE" w:rsidRDefault="00A00CB7">
            <w:pPr>
              <w:pStyle w:val="CellTextValue"/>
            </w:pPr>
            <w:r>
              <w:t>HORIZON-HLTH-2025-01-DISEASE-01: Randomised controlled trials to test safety and efficacy of phage therapy for the treatment of antibiotic-resistant bacterial infections</w:t>
            </w:r>
          </w:p>
        </w:tc>
        <w:tc>
          <w:tcPr>
            <w:tcW w:w="0" w:type="auto"/>
          </w:tcPr>
          <w:p w14:paraId="4AA6AC64" w14:textId="77777777" w:rsidR="00056AEE" w:rsidRDefault="00A00CB7">
            <w:pPr>
              <w:pStyle w:val="CellTextValue"/>
            </w:pPr>
            <w:r>
              <w:t>RIA</w:t>
            </w:r>
          </w:p>
        </w:tc>
        <w:tc>
          <w:tcPr>
            <w:tcW w:w="0" w:type="auto"/>
            <w:vMerge w:val="restart"/>
          </w:tcPr>
          <w:p w14:paraId="7730589C" w14:textId="77777777" w:rsidR="00056AEE" w:rsidRDefault="00A00CB7">
            <w:pPr>
              <w:pStyle w:val="CellTextValue"/>
            </w:pPr>
            <w:r>
              <w:t>45.00</w:t>
            </w:r>
          </w:p>
        </w:tc>
        <w:tc>
          <w:tcPr>
            <w:tcW w:w="0" w:type="auto"/>
          </w:tcPr>
          <w:p w14:paraId="14C4422D" w14:textId="77777777" w:rsidR="00056AEE" w:rsidRDefault="00A00CB7">
            <w:pPr>
              <w:pStyle w:val="CellTextValue"/>
            </w:pPr>
            <w:r>
              <w:t>Around 15.00</w:t>
            </w:r>
          </w:p>
        </w:tc>
        <w:tc>
          <w:tcPr>
            <w:tcW w:w="0" w:type="auto"/>
          </w:tcPr>
          <w:p w14:paraId="482B623B" w14:textId="77777777" w:rsidR="00056AEE" w:rsidRDefault="00A00CB7">
            <w:pPr>
              <w:pStyle w:val="CellTextValue"/>
            </w:pPr>
            <w:r>
              <w:t>3</w:t>
            </w:r>
          </w:p>
        </w:tc>
      </w:tr>
      <w:tr w:rsidR="00056AEE" w14:paraId="586FAC8E" w14:textId="77777777">
        <w:tc>
          <w:tcPr>
            <w:tcW w:w="0" w:type="auto"/>
          </w:tcPr>
          <w:p w14:paraId="7CBF0A89" w14:textId="77777777" w:rsidR="00056AEE" w:rsidRDefault="00A00CB7">
            <w:pPr>
              <w:pStyle w:val="CellTextValue"/>
            </w:pPr>
            <w:r>
              <w:t>HORIZON-HLTH-2025-01-DISEASE-02: Advancing innovative interventions for mental, behavioural and neurodevelopmental disorders</w:t>
            </w:r>
          </w:p>
        </w:tc>
        <w:tc>
          <w:tcPr>
            <w:tcW w:w="0" w:type="auto"/>
          </w:tcPr>
          <w:p w14:paraId="480414C4" w14:textId="77777777" w:rsidR="00056AEE" w:rsidRDefault="00A00CB7">
            <w:pPr>
              <w:pStyle w:val="CellTextValue"/>
            </w:pPr>
            <w:r>
              <w:t>RIA</w:t>
            </w:r>
          </w:p>
        </w:tc>
        <w:tc>
          <w:tcPr>
            <w:tcW w:w="0" w:type="auto"/>
            <w:vMerge w:val="restart"/>
          </w:tcPr>
          <w:p w14:paraId="5F9D8BBA" w14:textId="77777777" w:rsidR="00056AEE" w:rsidRDefault="00A00CB7">
            <w:pPr>
              <w:pStyle w:val="CellTextValue"/>
            </w:pPr>
            <w:r>
              <w:t>50.00</w:t>
            </w:r>
          </w:p>
        </w:tc>
        <w:tc>
          <w:tcPr>
            <w:tcW w:w="0" w:type="auto"/>
          </w:tcPr>
          <w:p w14:paraId="3A064752" w14:textId="77777777" w:rsidR="00056AEE" w:rsidRDefault="00A00CB7">
            <w:pPr>
              <w:pStyle w:val="CellTextValue"/>
            </w:pPr>
            <w:r>
              <w:t>6.00 to 8.00</w:t>
            </w:r>
          </w:p>
        </w:tc>
        <w:tc>
          <w:tcPr>
            <w:tcW w:w="0" w:type="auto"/>
          </w:tcPr>
          <w:p w14:paraId="1DEAEC15" w14:textId="77777777" w:rsidR="00056AEE" w:rsidRDefault="00A00CB7">
            <w:pPr>
              <w:pStyle w:val="CellTextValue"/>
            </w:pPr>
            <w:r>
              <w:t>7</w:t>
            </w:r>
          </w:p>
        </w:tc>
      </w:tr>
      <w:tr w:rsidR="00056AEE" w14:paraId="6F44783A" w14:textId="77777777">
        <w:tc>
          <w:tcPr>
            <w:tcW w:w="0" w:type="auto"/>
          </w:tcPr>
          <w:p w14:paraId="4F3BB600" w14:textId="77777777" w:rsidR="00056AEE" w:rsidRDefault="00A00CB7">
            <w:pPr>
              <w:pStyle w:val="CellTextValue"/>
            </w:pPr>
            <w:r>
              <w:lastRenderedPageBreak/>
              <w:t>HORIZON-HLTH-2025-01-DISEASE-03: Development of antibodies and antibody-derived proteins for the prevention and treatment of infectious diseases with epidemic potential</w:t>
            </w:r>
          </w:p>
        </w:tc>
        <w:tc>
          <w:tcPr>
            <w:tcW w:w="0" w:type="auto"/>
          </w:tcPr>
          <w:p w14:paraId="40C205DA" w14:textId="77777777" w:rsidR="00056AEE" w:rsidRDefault="00A00CB7">
            <w:pPr>
              <w:pStyle w:val="CellTextValue"/>
            </w:pPr>
            <w:r>
              <w:t>RIA</w:t>
            </w:r>
          </w:p>
        </w:tc>
        <w:tc>
          <w:tcPr>
            <w:tcW w:w="0" w:type="auto"/>
            <w:vMerge w:val="restart"/>
          </w:tcPr>
          <w:p w14:paraId="6E674C97" w14:textId="77777777" w:rsidR="00056AEE" w:rsidRDefault="00A00CB7">
            <w:pPr>
              <w:pStyle w:val="CellTextValue"/>
            </w:pPr>
            <w:r>
              <w:t>50.00</w:t>
            </w:r>
          </w:p>
        </w:tc>
        <w:tc>
          <w:tcPr>
            <w:tcW w:w="0" w:type="auto"/>
          </w:tcPr>
          <w:p w14:paraId="0BF2393D" w14:textId="77777777" w:rsidR="00056AEE" w:rsidRDefault="00A00CB7">
            <w:pPr>
              <w:pStyle w:val="CellTextValue"/>
            </w:pPr>
            <w:r>
              <w:t>Around 10.00</w:t>
            </w:r>
          </w:p>
        </w:tc>
        <w:tc>
          <w:tcPr>
            <w:tcW w:w="0" w:type="auto"/>
          </w:tcPr>
          <w:p w14:paraId="668AA0B7" w14:textId="77777777" w:rsidR="00056AEE" w:rsidRDefault="00A00CB7">
            <w:pPr>
              <w:pStyle w:val="CellTextValue"/>
            </w:pPr>
            <w:r>
              <w:t>5</w:t>
            </w:r>
          </w:p>
        </w:tc>
      </w:tr>
      <w:tr w:rsidR="00056AEE" w14:paraId="0C3DE28B" w14:textId="77777777">
        <w:tc>
          <w:tcPr>
            <w:tcW w:w="0" w:type="auto"/>
          </w:tcPr>
          <w:p w14:paraId="30C52A8E" w14:textId="77777777" w:rsidR="00056AEE" w:rsidRDefault="00A00CB7">
            <w:pPr>
              <w:pStyle w:val="CellTextValue"/>
            </w:pPr>
            <w:r>
              <w:t>HORIZON-HLTH-2025-01-DISEASE-04: Leveraging artificial intelligence for pandemic preparedness and response</w:t>
            </w:r>
          </w:p>
        </w:tc>
        <w:tc>
          <w:tcPr>
            <w:tcW w:w="0" w:type="auto"/>
          </w:tcPr>
          <w:p w14:paraId="16FE4934" w14:textId="77777777" w:rsidR="00056AEE" w:rsidRDefault="00A00CB7">
            <w:pPr>
              <w:pStyle w:val="CellTextValue"/>
            </w:pPr>
            <w:r>
              <w:t>RIA</w:t>
            </w:r>
          </w:p>
        </w:tc>
        <w:tc>
          <w:tcPr>
            <w:tcW w:w="0" w:type="auto"/>
            <w:vMerge w:val="restart"/>
          </w:tcPr>
          <w:p w14:paraId="344B0B89" w14:textId="77777777" w:rsidR="00056AEE" w:rsidRDefault="00A00CB7">
            <w:pPr>
              <w:pStyle w:val="CellTextValue"/>
            </w:pPr>
            <w:r>
              <w:t>35.00</w:t>
            </w:r>
          </w:p>
        </w:tc>
        <w:tc>
          <w:tcPr>
            <w:tcW w:w="0" w:type="auto"/>
          </w:tcPr>
          <w:p w14:paraId="3E0650B9" w14:textId="77777777" w:rsidR="00056AEE" w:rsidRDefault="00A00CB7">
            <w:pPr>
              <w:pStyle w:val="CellTextValue"/>
            </w:pPr>
            <w:r>
              <w:t>6.00 to 8.00</w:t>
            </w:r>
          </w:p>
        </w:tc>
        <w:tc>
          <w:tcPr>
            <w:tcW w:w="0" w:type="auto"/>
          </w:tcPr>
          <w:p w14:paraId="1353ADC4" w14:textId="77777777" w:rsidR="00056AEE" w:rsidRDefault="00A00CB7">
            <w:pPr>
              <w:pStyle w:val="CellTextValue"/>
            </w:pPr>
            <w:r>
              <w:t>5</w:t>
            </w:r>
          </w:p>
        </w:tc>
      </w:tr>
      <w:tr w:rsidR="00056AEE" w14:paraId="1EDED965" w14:textId="77777777">
        <w:tc>
          <w:tcPr>
            <w:tcW w:w="0" w:type="auto"/>
          </w:tcPr>
          <w:p w14:paraId="3D2893A9" w14:textId="77777777" w:rsidR="00056AEE" w:rsidRDefault="00A00CB7">
            <w:pPr>
              <w:pStyle w:val="CellTextValue"/>
            </w:pPr>
            <w:r>
              <w:t>HORIZON-HLTH-2025-01-DISEASE-05: Support for the functioning of the Global Research Collaboration for Infectious Disease Preparedness (</w:t>
            </w:r>
            <w:proofErr w:type="spellStart"/>
            <w:r>
              <w:t>GloPID</w:t>
            </w:r>
            <w:proofErr w:type="spellEnd"/>
            <w:r>
              <w:t>-R)</w:t>
            </w:r>
          </w:p>
        </w:tc>
        <w:tc>
          <w:tcPr>
            <w:tcW w:w="0" w:type="auto"/>
          </w:tcPr>
          <w:p w14:paraId="58B597D4" w14:textId="77777777" w:rsidR="00056AEE" w:rsidRDefault="00A00CB7">
            <w:pPr>
              <w:pStyle w:val="CellTextValue"/>
            </w:pPr>
            <w:r>
              <w:t>CSA</w:t>
            </w:r>
          </w:p>
        </w:tc>
        <w:tc>
          <w:tcPr>
            <w:tcW w:w="0" w:type="auto"/>
            <w:vMerge w:val="restart"/>
          </w:tcPr>
          <w:p w14:paraId="498E8D43" w14:textId="77777777" w:rsidR="00056AEE" w:rsidRDefault="00A00CB7">
            <w:pPr>
              <w:pStyle w:val="CellTextValue"/>
            </w:pPr>
            <w:r>
              <w:t>2.00</w:t>
            </w:r>
          </w:p>
        </w:tc>
        <w:tc>
          <w:tcPr>
            <w:tcW w:w="0" w:type="auto"/>
          </w:tcPr>
          <w:p w14:paraId="7CCE16BB" w14:textId="77777777" w:rsidR="00056AEE" w:rsidRDefault="00A00CB7">
            <w:pPr>
              <w:pStyle w:val="CellTextValue"/>
            </w:pPr>
            <w:r>
              <w:t>Around 2.00</w:t>
            </w:r>
          </w:p>
        </w:tc>
        <w:tc>
          <w:tcPr>
            <w:tcW w:w="0" w:type="auto"/>
          </w:tcPr>
          <w:p w14:paraId="094B0A82" w14:textId="77777777" w:rsidR="00056AEE" w:rsidRDefault="00A00CB7">
            <w:pPr>
              <w:pStyle w:val="CellTextValue"/>
            </w:pPr>
            <w:r>
              <w:t>1</w:t>
            </w:r>
          </w:p>
        </w:tc>
      </w:tr>
      <w:tr w:rsidR="00056AEE" w14:paraId="5C159B9C" w14:textId="77777777">
        <w:tc>
          <w:tcPr>
            <w:tcW w:w="0" w:type="auto"/>
          </w:tcPr>
          <w:p w14:paraId="6646CC0F" w14:textId="77777777" w:rsidR="00056AEE" w:rsidRDefault="00A00CB7">
            <w:pPr>
              <w:pStyle w:val="CellTextValue"/>
            </w:pPr>
            <w:r>
              <w:t>HORIZON-HLTH-2025-01-DISEASE-06: Implementation research addressing strategies to strengthen health systems for equitable high-quality care and health outcomes in the context of non-communicable diseases (GACD)</w:t>
            </w:r>
          </w:p>
        </w:tc>
        <w:tc>
          <w:tcPr>
            <w:tcW w:w="0" w:type="auto"/>
          </w:tcPr>
          <w:p w14:paraId="450F4985" w14:textId="77777777" w:rsidR="00056AEE" w:rsidRDefault="00A00CB7">
            <w:pPr>
              <w:pStyle w:val="CellTextValue"/>
            </w:pPr>
            <w:r>
              <w:t>RIA</w:t>
            </w:r>
          </w:p>
        </w:tc>
        <w:tc>
          <w:tcPr>
            <w:tcW w:w="0" w:type="auto"/>
            <w:vMerge w:val="restart"/>
          </w:tcPr>
          <w:p w14:paraId="768446A2" w14:textId="77777777" w:rsidR="00056AEE" w:rsidRDefault="00A00CB7">
            <w:pPr>
              <w:pStyle w:val="CellTextValue"/>
            </w:pPr>
            <w:r>
              <w:t>20.00</w:t>
            </w:r>
          </w:p>
        </w:tc>
        <w:tc>
          <w:tcPr>
            <w:tcW w:w="0" w:type="auto"/>
          </w:tcPr>
          <w:p w14:paraId="4B96B474" w14:textId="77777777" w:rsidR="00056AEE" w:rsidRDefault="00A00CB7">
            <w:pPr>
              <w:pStyle w:val="CellTextValue"/>
            </w:pPr>
            <w:r>
              <w:t>3.00 to 4.00</w:t>
            </w:r>
          </w:p>
        </w:tc>
        <w:tc>
          <w:tcPr>
            <w:tcW w:w="0" w:type="auto"/>
          </w:tcPr>
          <w:p w14:paraId="6F95ACDD" w14:textId="77777777" w:rsidR="00056AEE" w:rsidRDefault="00A00CB7">
            <w:pPr>
              <w:pStyle w:val="CellTextValue"/>
            </w:pPr>
            <w:r>
              <w:t>5</w:t>
            </w:r>
          </w:p>
        </w:tc>
      </w:tr>
      <w:tr w:rsidR="00056AEE" w14:paraId="5D697695" w14:textId="77777777">
        <w:tc>
          <w:tcPr>
            <w:tcW w:w="0" w:type="auto"/>
          </w:tcPr>
          <w:p w14:paraId="43FF9D4B" w14:textId="77777777" w:rsidR="00056AEE" w:rsidRDefault="00A00CB7">
            <w:pPr>
              <w:pStyle w:val="CellTextValue"/>
            </w:pPr>
            <w:r>
              <w:t>Overall indicative budget</w:t>
            </w:r>
          </w:p>
        </w:tc>
        <w:tc>
          <w:tcPr>
            <w:tcW w:w="0" w:type="auto"/>
          </w:tcPr>
          <w:p w14:paraId="4042161F" w14:textId="77777777" w:rsidR="00056AEE" w:rsidRDefault="00056AEE"/>
        </w:tc>
        <w:tc>
          <w:tcPr>
            <w:tcW w:w="0" w:type="auto"/>
          </w:tcPr>
          <w:p w14:paraId="42576EDD" w14:textId="77777777" w:rsidR="00056AEE" w:rsidRDefault="00A00CB7">
            <w:pPr>
              <w:pStyle w:val="CellTextValue"/>
            </w:pPr>
            <w:r>
              <w:t>651.00</w:t>
            </w:r>
          </w:p>
        </w:tc>
        <w:tc>
          <w:tcPr>
            <w:tcW w:w="0" w:type="auto"/>
          </w:tcPr>
          <w:p w14:paraId="2F44F8B1" w14:textId="77777777" w:rsidR="00056AEE" w:rsidRDefault="00056AEE"/>
        </w:tc>
        <w:tc>
          <w:tcPr>
            <w:tcW w:w="0" w:type="auto"/>
          </w:tcPr>
          <w:p w14:paraId="04056111" w14:textId="77777777" w:rsidR="00056AEE" w:rsidRDefault="00056AEE"/>
        </w:tc>
      </w:tr>
    </w:tbl>
    <w:p w14:paraId="31F70ED1" w14:textId="77777777" w:rsidR="00056AEE" w:rsidRDefault="00056AEE">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3A38F8" w14:paraId="4C161F39" w14:textId="77777777" w:rsidTr="003A38F8">
        <w:tc>
          <w:tcPr>
            <w:tcW w:w="0" w:type="auto"/>
            <w:gridSpan w:val="2"/>
          </w:tcPr>
          <w:p w14:paraId="6E0035D9" w14:textId="77777777" w:rsidR="00056AEE" w:rsidRDefault="00A00CB7">
            <w:pPr>
              <w:pStyle w:val="CellTextValue"/>
            </w:pPr>
            <w:r>
              <w:rPr>
                <w:b/>
              </w:rPr>
              <w:t>General conditions relating to this call</w:t>
            </w:r>
          </w:p>
        </w:tc>
      </w:tr>
      <w:tr w:rsidR="00056AEE" w14:paraId="66E58989" w14:textId="77777777">
        <w:tc>
          <w:tcPr>
            <w:tcW w:w="0" w:type="auto"/>
          </w:tcPr>
          <w:p w14:paraId="07B8B410" w14:textId="77777777" w:rsidR="00056AEE" w:rsidRDefault="00A00CB7">
            <w:pPr>
              <w:pStyle w:val="CellTextValue"/>
              <w:jc w:val="left"/>
            </w:pPr>
            <w:r>
              <w:rPr>
                <w:i/>
              </w:rPr>
              <w:t>Admissibility conditions</w:t>
            </w:r>
          </w:p>
        </w:tc>
        <w:tc>
          <w:tcPr>
            <w:tcW w:w="0" w:type="auto"/>
          </w:tcPr>
          <w:p w14:paraId="53E081EF" w14:textId="77777777" w:rsidR="00056AEE" w:rsidRDefault="00A00CB7">
            <w:pPr>
              <w:pStyle w:val="CellTextValue"/>
            </w:pPr>
            <w:r>
              <w:rPr>
                <w:color w:val="000000"/>
              </w:rPr>
              <w:t>The conditions are described in General Annex A.</w:t>
            </w:r>
          </w:p>
        </w:tc>
      </w:tr>
      <w:tr w:rsidR="00056AEE" w14:paraId="463786FD" w14:textId="77777777">
        <w:tc>
          <w:tcPr>
            <w:tcW w:w="0" w:type="auto"/>
          </w:tcPr>
          <w:p w14:paraId="0EDA3333" w14:textId="77777777" w:rsidR="00056AEE" w:rsidRDefault="00A00CB7">
            <w:pPr>
              <w:pStyle w:val="CellTextValue"/>
              <w:jc w:val="left"/>
            </w:pPr>
            <w:r>
              <w:rPr>
                <w:i/>
              </w:rPr>
              <w:t>Eligibility conditions</w:t>
            </w:r>
          </w:p>
        </w:tc>
        <w:tc>
          <w:tcPr>
            <w:tcW w:w="0" w:type="auto"/>
          </w:tcPr>
          <w:p w14:paraId="63EAEA9D" w14:textId="77777777" w:rsidR="00056AEE" w:rsidRDefault="00A00CB7">
            <w:pPr>
              <w:pStyle w:val="CellTextValue"/>
            </w:pPr>
            <w:r>
              <w:rPr>
                <w:color w:val="000000"/>
              </w:rPr>
              <w:t>The conditions are described in General Annex B.</w:t>
            </w:r>
          </w:p>
        </w:tc>
      </w:tr>
      <w:tr w:rsidR="00056AEE" w14:paraId="2ED02BB6" w14:textId="77777777">
        <w:tc>
          <w:tcPr>
            <w:tcW w:w="0" w:type="auto"/>
          </w:tcPr>
          <w:p w14:paraId="5B427EB6" w14:textId="77777777" w:rsidR="00056AEE" w:rsidRDefault="00A00CB7">
            <w:pPr>
              <w:pStyle w:val="CellTextValue"/>
              <w:jc w:val="left"/>
            </w:pPr>
            <w:r>
              <w:rPr>
                <w:i/>
              </w:rPr>
              <w:t>Financial and operational capacity and exclusion</w:t>
            </w:r>
          </w:p>
        </w:tc>
        <w:tc>
          <w:tcPr>
            <w:tcW w:w="0" w:type="auto"/>
          </w:tcPr>
          <w:p w14:paraId="2103EE0D" w14:textId="77777777" w:rsidR="00056AEE" w:rsidRDefault="00A00CB7">
            <w:pPr>
              <w:pStyle w:val="CellTextValue"/>
            </w:pPr>
            <w:r>
              <w:rPr>
                <w:color w:val="000000"/>
              </w:rPr>
              <w:t>The criteria are described in General Annex C.</w:t>
            </w:r>
          </w:p>
        </w:tc>
      </w:tr>
      <w:tr w:rsidR="00056AEE" w14:paraId="23037A93" w14:textId="77777777">
        <w:tc>
          <w:tcPr>
            <w:tcW w:w="0" w:type="auto"/>
          </w:tcPr>
          <w:p w14:paraId="0329A76F" w14:textId="77777777" w:rsidR="00056AEE" w:rsidRDefault="00A00CB7">
            <w:pPr>
              <w:pStyle w:val="CellTextValue"/>
              <w:jc w:val="left"/>
            </w:pPr>
            <w:r>
              <w:rPr>
                <w:i/>
              </w:rPr>
              <w:t>Award criteria</w:t>
            </w:r>
          </w:p>
        </w:tc>
        <w:tc>
          <w:tcPr>
            <w:tcW w:w="0" w:type="auto"/>
          </w:tcPr>
          <w:p w14:paraId="7008F748" w14:textId="77777777" w:rsidR="00056AEE" w:rsidRDefault="00A00CB7">
            <w:pPr>
              <w:pStyle w:val="CellTextValue"/>
            </w:pPr>
            <w:r>
              <w:rPr>
                <w:color w:val="000000"/>
              </w:rPr>
              <w:t>The criteria are described in General Annex D.</w:t>
            </w:r>
          </w:p>
        </w:tc>
      </w:tr>
      <w:tr w:rsidR="00056AEE" w14:paraId="63C695A1" w14:textId="77777777">
        <w:tc>
          <w:tcPr>
            <w:tcW w:w="0" w:type="auto"/>
          </w:tcPr>
          <w:p w14:paraId="578215B8" w14:textId="77777777" w:rsidR="00056AEE" w:rsidRDefault="00A00CB7">
            <w:pPr>
              <w:pStyle w:val="CellTextValue"/>
              <w:jc w:val="left"/>
            </w:pPr>
            <w:r>
              <w:rPr>
                <w:i/>
              </w:rPr>
              <w:t>Documents</w:t>
            </w:r>
          </w:p>
        </w:tc>
        <w:tc>
          <w:tcPr>
            <w:tcW w:w="0" w:type="auto"/>
          </w:tcPr>
          <w:p w14:paraId="34881627" w14:textId="77777777" w:rsidR="00056AEE" w:rsidRDefault="00A00CB7">
            <w:pPr>
              <w:pStyle w:val="CellTextValue"/>
            </w:pPr>
            <w:r>
              <w:rPr>
                <w:color w:val="000000"/>
              </w:rPr>
              <w:t>The documents are described in General Annex E.</w:t>
            </w:r>
          </w:p>
        </w:tc>
      </w:tr>
      <w:tr w:rsidR="00056AEE" w14:paraId="2347F444" w14:textId="77777777">
        <w:tc>
          <w:tcPr>
            <w:tcW w:w="0" w:type="auto"/>
          </w:tcPr>
          <w:p w14:paraId="54673BEC" w14:textId="77777777" w:rsidR="00056AEE" w:rsidRDefault="00A00CB7">
            <w:pPr>
              <w:pStyle w:val="CellTextValue"/>
              <w:jc w:val="left"/>
            </w:pPr>
            <w:r>
              <w:rPr>
                <w:i/>
              </w:rPr>
              <w:t>Procedure</w:t>
            </w:r>
          </w:p>
        </w:tc>
        <w:tc>
          <w:tcPr>
            <w:tcW w:w="0" w:type="auto"/>
          </w:tcPr>
          <w:p w14:paraId="17729EEF" w14:textId="77777777" w:rsidR="00056AEE" w:rsidRDefault="00A00CB7">
            <w:pPr>
              <w:pStyle w:val="CellTextValue"/>
            </w:pPr>
            <w:r>
              <w:rPr>
                <w:color w:val="000000"/>
              </w:rPr>
              <w:t>The procedure is described in General Annex F.</w:t>
            </w:r>
          </w:p>
        </w:tc>
      </w:tr>
      <w:tr w:rsidR="00056AEE" w14:paraId="25BDA213" w14:textId="77777777">
        <w:tc>
          <w:tcPr>
            <w:tcW w:w="0" w:type="auto"/>
          </w:tcPr>
          <w:p w14:paraId="1A72AC72" w14:textId="77777777" w:rsidR="00056AEE" w:rsidRDefault="00A00CB7">
            <w:pPr>
              <w:pStyle w:val="CellTextValue"/>
              <w:jc w:val="left"/>
            </w:pPr>
            <w:r>
              <w:rPr>
                <w:i/>
              </w:rPr>
              <w:t>Legal and financial set-up of the Grant Agreements</w:t>
            </w:r>
          </w:p>
        </w:tc>
        <w:tc>
          <w:tcPr>
            <w:tcW w:w="0" w:type="auto"/>
          </w:tcPr>
          <w:p w14:paraId="3C4E5FCA" w14:textId="77777777" w:rsidR="00056AEE" w:rsidRDefault="00A00CB7">
            <w:pPr>
              <w:pStyle w:val="CellTextValue"/>
            </w:pPr>
            <w:r>
              <w:rPr>
                <w:color w:val="000000"/>
              </w:rPr>
              <w:t>The rules are described in General Annex G.</w:t>
            </w:r>
          </w:p>
        </w:tc>
      </w:tr>
    </w:tbl>
    <w:p w14:paraId="76FF76A2" w14:textId="77777777" w:rsidR="00056AEE" w:rsidRDefault="00056AEE">
      <w:pPr>
        <w:spacing w:after="0" w:line="150" w:lineRule="auto"/>
      </w:pPr>
    </w:p>
    <w:p w14:paraId="41772CD9" w14:textId="77777777" w:rsidR="00056AEE" w:rsidRPr="00A00CB7" w:rsidRDefault="00A00CB7">
      <w:pPr>
        <w:pStyle w:val="HeadingTwo"/>
        <w:rPr>
          <w:lang w:val="en-IE"/>
        </w:rPr>
      </w:pPr>
      <w:bookmarkStart w:id="4" w:name="_Toc171689851"/>
      <w:r w:rsidRPr="00A00CB7">
        <w:rPr>
          <w:lang w:val="en-IE"/>
        </w:rPr>
        <w:lastRenderedPageBreak/>
        <w:t>Call - Partnerships in Health - European Partnership for Brain Health (2025)</w:t>
      </w:r>
      <w:bookmarkEnd w:id="4"/>
    </w:p>
    <w:p w14:paraId="14004E63" w14:textId="77777777" w:rsidR="00056AEE" w:rsidRDefault="00A00CB7">
      <w:pPr>
        <w:pStyle w:val="CallIdentifier"/>
      </w:pPr>
      <w:r>
        <w:t>HORIZON-HLTH-2025-02</w:t>
      </w:r>
    </w:p>
    <w:p w14:paraId="6ACBDF5D" w14:textId="77777777" w:rsidR="00056AEE" w:rsidRDefault="00A00CB7">
      <w:pPr>
        <w:pStyle w:val="HeadingThree"/>
      </w:pPr>
      <w:bookmarkStart w:id="5" w:name="_Toc171689852"/>
      <w:r>
        <w:t>Overview of this call</w:t>
      </w:r>
      <w:r>
        <w:rPr>
          <w:vertAlign w:val="superscript"/>
        </w:rPr>
        <w:footnoteReference w:id="22"/>
      </w:r>
      <w:bookmarkEnd w:id="5"/>
    </w:p>
    <w:p w14:paraId="2A44E3DB" w14:textId="77777777" w:rsidR="00056AEE" w:rsidRDefault="00A00CB7">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951"/>
        <w:gridCol w:w="1217"/>
        <w:gridCol w:w="770"/>
        <w:gridCol w:w="770"/>
        <w:gridCol w:w="770"/>
        <w:gridCol w:w="1404"/>
        <w:gridCol w:w="1190"/>
      </w:tblGrid>
      <w:tr w:rsidR="003A38F8" w14:paraId="65C2C772" w14:textId="77777777" w:rsidTr="003A38F8">
        <w:tc>
          <w:tcPr>
            <w:tcW w:w="2000" w:type="dxa"/>
            <w:vMerge w:val="restart"/>
          </w:tcPr>
          <w:p w14:paraId="2FE5FFC8" w14:textId="77777777" w:rsidR="00056AEE" w:rsidRDefault="00A00CB7">
            <w:pPr>
              <w:pStyle w:val="CellHeaderTextValue"/>
            </w:pPr>
            <w:r>
              <w:t>Topics</w:t>
            </w:r>
          </w:p>
        </w:tc>
        <w:tc>
          <w:tcPr>
            <w:tcW w:w="800" w:type="dxa"/>
            <w:vMerge w:val="restart"/>
          </w:tcPr>
          <w:p w14:paraId="2592707A" w14:textId="77777777" w:rsidR="00056AEE" w:rsidRDefault="00A00CB7">
            <w:pPr>
              <w:pStyle w:val="CellHeaderTextValue"/>
            </w:pPr>
            <w:r>
              <w:t>Type of Action</w:t>
            </w:r>
          </w:p>
        </w:tc>
        <w:tc>
          <w:tcPr>
            <w:tcW w:w="0" w:type="auto"/>
            <w:gridSpan w:val="3"/>
          </w:tcPr>
          <w:p w14:paraId="7DF1C378" w14:textId="77777777" w:rsidR="00056AEE" w:rsidRDefault="00A00CB7">
            <w:pPr>
              <w:pStyle w:val="CellHeaderTextValue"/>
            </w:pPr>
            <w:r>
              <w:t>Budgets (EUR million)</w:t>
            </w:r>
          </w:p>
        </w:tc>
        <w:tc>
          <w:tcPr>
            <w:tcW w:w="0" w:type="auto"/>
            <w:vMerge w:val="restart"/>
          </w:tcPr>
          <w:p w14:paraId="5579B666" w14:textId="77777777" w:rsidR="00056AEE" w:rsidRDefault="00A00CB7">
            <w:pPr>
              <w:pStyle w:val="CellHeaderTextValue"/>
            </w:pPr>
            <w:r>
              <w:t>Expected EU contribution per project (EUR million)</w:t>
            </w:r>
            <w:r>
              <w:rPr>
                <w:vertAlign w:val="superscript"/>
              </w:rPr>
              <w:footnoteReference w:id="23"/>
            </w:r>
          </w:p>
        </w:tc>
        <w:tc>
          <w:tcPr>
            <w:tcW w:w="800" w:type="dxa"/>
            <w:vMerge w:val="restart"/>
          </w:tcPr>
          <w:p w14:paraId="395750C7" w14:textId="77777777" w:rsidR="00056AEE" w:rsidRDefault="00A00CB7">
            <w:pPr>
              <w:pStyle w:val="CellHeaderTextValue"/>
            </w:pPr>
            <w:r>
              <w:t>Indicative number of projects expected to be funded</w:t>
            </w:r>
          </w:p>
        </w:tc>
      </w:tr>
      <w:tr w:rsidR="00056AEE" w14:paraId="20DD5148" w14:textId="77777777">
        <w:tc>
          <w:tcPr>
            <w:tcW w:w="0" w:type="auto"/>
            <w:vMerge/>
          </w:tcPr>
          <w:p w14:paraId="7C6A427E" w14:textId="77777777" w:rsidR="00056AEE" w:rsidRDefault="00056AEE"/>
        </w:tc>
        <w:tc>
          <w:tcPr>
            <w:tcW w:w="0" w:type="auto"/>
            <w:vMerge/>
          </w:tcPr>
          <w:p w14:paraId="1385D310" w14:textId="77777777" w:rsidR="00056AEE" w:rsidRDefault="00056AEE"/>
        </w:tc>
        <w:tc>
          <w:tcPr>
            <w:tcW w:w="0" w:type="auto"/>
          </w:tcPr>
          <w:p w14:paraId="0FFEC6E3" w14:textId="77777777" w:rsidR="00056AEE" w:rsidRDefault="00A00CB7">
            <w:pPr>
              <w:pStyle w:val="CellHeaderTextValue"/>
            </w:pPr>
            <w:r>
              <w:t>2025</w:t>
            </w:r>
          </w:p>
        </w:tc>
        <w:tc>
          <w:tcPr>
            <w:tcW w:w="0" w:type="auto"/>
          </w:tcPr>
          <w:p w14:paraId="3C209D2D" w14:textId="77777777" w:rsidR="00056AEE" w:rsidRDefault="00A00CB7">
            <w:pPr>
              <w:pStyle w:val="CellHeaderTextValue"/>
            </w:pPr>
            <w:r>
              <w:t>2026</w:t>
            </w:r>
          </w:p>
        </w:tc>
        <w:tc>
          <w:tcPr>
            <w:tcW w:w="0" w:type="auto"/>
          </w:tcPr>
          <w:p w14:paraId="4A3A8F5A" w14:textId="77777777" w:rsidR="00056AEE" w:rsidRDefault="00A00CB7">
            <w:pPr>
              <w:pStyle w:val="CellHeaderTextValue"/>
            </w:pPr>
            <w:r>
              <w:t>2027</w:t>
            </w:r>
          </w:p>
        </w:tc>
        <w:tc>
          <w:tcPr>
            <w:tcW w:w="0" w:type="auto"/>
            <w:vMerge/>
          </w:tcPr>
          <w:p w14:paraId="439A5EE4" w14:textId="77777777" w:rsidR="00056AEE" w:rsidRDefault="00056AEE"/>
        </w:tc>
        <w:tc>
          <w:tcPr>
            <w:tcW w:w="0" w:type="auto"/>
            <w:vMerge/>
          </w:tcPr>
          <w:p w14:paraId="14371996" w14:textId="77777777" w:rsidR="00056AEE" w:rsidRDefault="00056AEE"/>
        </w:tc>
      </w:tr>
      <w:tr w:rsidR="003A38F8" w14:paraId="2D90D693" w14:textId="77777777" w:rsidTr="003A38F8">
        <w:tc>
          <w:tcPr>
            <w:tcW w:w="0" w:type="auto"/>
            <w:gridSpan w:val="7"/>
          </w:tcPr>
          <w:p w14:paraId="6583FD10" w14:textId="77777777" w:rsidR="00056AEE" w:rsidRDefault="00A00CB7">
            <w:pPr>
              <w:pStyle w:val="CellTextValue"/>
              <w:jc w:val="center"/>
            </w:pPr>
            <w:r>
              <w:t>Opening: 22 May 2025</w:t>
            </w:r>
          </w:p>
          <w:p w14:paraId="13903AB6" w14:textId="77777777" w:rsidR="00056AEE" w:rsidRDefault="00A00CB7">
            <w:pPr>
              <w:pStyle w:val="CellTextValue"/>
              <w:jc w:val="center"/>
            </w:pPr>
            <w:r>
              <w:t>Deadline(s): 18 Sep 2025</w:t>
            </w:r>
          </w:p>
        </w:tc>
      </w:tr>
      <w:tr w:rsidR="003A38F8" w14:paraId="32DA7384" w14:textId="77777777" w:rsidTr="003A38F8">
        <w:tc>
          <w:tcPr>
            <w:tcW w:w="0" w:type="auto"/>
            <w:gridSpan w:val="7"/>
          </w:tcPr>
          <w:p w14:paraId="288492BB" w14:textId="77777777" w:rsidR="00056AEE" w:rsidRDefault="00A00CB7">
            <w:pPr>
              <w:pStyle w:val="CellTextValue"/>
            </w:pPr>
            <w:r>
              <w:t>Destination - Tackling diseases and reducing disease burden</w:t>
            </w:r>
          </w:p>
        </w:tc>
      </w:tr>
      <w:tr w:rsidR="00056AEE" w14:paraId="650D8EF6" w14:textId="77777777">
        <w:tc>
          <w:tcPr>
            <w:tcW w:w="0" w:type="auto"/>
          </w:tcPr>
          <w:p w14:paraId="018E4D39" w14:textId="77777777" w:rsidR="00056AEE" w:rsidRDefault="00A00CB7">
            <w:pPr>
              <w:pStyle w:val="CellTextValue"/>
            </w:pPr>
            <w:r>
              <w:t>HORIZON-HLTH-2025-02-DISEASE-01: European Partnership for Brain Health</w:t>
            </w:r>
          </w:p>
        </w:tc>
        <w:tc>
          <w:tcPr>
            <w:tcW w:w="0" w:type="auto"/>
          </w:tcPr>
          <w:p w14:paraId="4B353502" w14:textId="77777777" w:rsidR="00056AEE" w:rsidRDefault="00A00CB7">
            <w:pPr>
              <w:pStyle w:val="CellTextValue"/>
            </w:pPr>
            <w:r>
              <w:t>COFUND</w:t>
            </w:r>
          </w:p>
        </w:tc>
        <w:tc>
          <w:tcPr>
            <w:tcW w:w="0" w:type="auto"/>
            <w:vMerge w:val="restart"/>
          </w:tcPr>
          <w:p w14:paraId="533F7B7F" w14:textId="77777777" w:rsidR="00056AEE" w:rsidRDefault="00A00CB7">
            <w:pPr>
              <w:pStyle w:val="CellTextValue"/>
            </w:pPr>
            <w:r>
              <w:t>30.00</w:t>
            </w:r>
          </w:p>
        </w:tc>
        <w:tc>
          <w:tcPr>
            <w:tcW w:w="0" w:type="auto"/>
            <w:vMerge w:val="restart"/>
          </w:tcPr>
          <w:p w14:paraId="4571A069" w14:textId="77777777" w:rsidR="00056AEE" w:rsidRDefault="00A00CB7">
            <w:pPr>
              <w:pStyle w:val="CellTextValue"/>
            </w:pPr>
            <w:r>
              <w:t>70.00</w:t>
            </w:r>
          </w:p>
        </w:tc>
        <w:tc>
          <w:tcPr>
            <w:tcW w:w="0" w:type="auto"/>
            <w:vMerge w:val="restart"/>
          </w:tcPr>
          <w:p w14:paraId="3323BDDA" w14:textId="77777777" w:rsidR="00056AEE" w:rsidRDefault="00A00CB7">
            <w:pPr>
              <w:pStyle w:val="CellTextValue"/>
            </w:pPr>
            <w:r>
              <w:t>50.00</w:t>
            </w:r>
          </w:p>
        </w:tc>
        <w:tc>
          <w:tcPr>
            <w:tcW w:w="0" w:type="auto"/>
          </w:tcPr>
          <w:p w14:paraId="7D3728A3" w14:textId="77777777" w:rsidR="00056AEE" w:rsidRDefault="00A00CB7">
            <w:pPr>
              <w:pStyle w:val="CellTextValue"/>
            </w:pPr>
            <w:r>
              <w:t>Around 150.00</w:t>
            </w:r>
          </w:p>
        </w:tc>
        <w:tc>
          <w:tcPr>
            <w:tcW w:w="0" w:type="auto"/>
          </w:tcPr>
          <w:p w14:paraId="481EEA41" w14:textId="77777777" w:rsidR="00056AEE" w:rsidRDefault="00A00CB7">
            <w:pPr>
              <w:pStyle w:val="CellTextValue"/>
            </w:pPr>
            <w:r>
              <w:t>1</w:t>
            </w:r>
          </w:p>
        </w:tc>
      </w:tr>
      <w:tr w:rsidR="00056AEE" w14:paraId="07987AAF" w14:textId="77777777">
        <w:tc>
          <w:tcPr>
            <w:tcW w:w="0" w:type="auto"/>
          </w:tcPr>
          <w:p w14:paraId="54325AEB" w14:textId="77777777" w:rsidR="00056AEE" w:rsidRDefault="00A00CB7">
            <w:pPr>
              <w:pStyle w:val="CellTextValue"/>
            </w:pPr>
            <w:r>
              <w:t>Overall indicative budget</w:t>
            </w:r>
          </w:p>
        </w:tc>
        <w:tc>
          <w:tcPr>
            <w:tcW w:w="0" w:type="auto"/>
          </w:tcPr>
          <w:p w14:paraId="2AD6C443" w14:textId="77777777" w:rsidR="00056AEE" w:rsidRDefault="00056AEE"/>
        </w:tc>
        <w:tc>
          <w:tcPr>
            <w:tcW w:w="0" w:type="auto"/>
          </w:tcPr>
          <w:p w14:paraId="0C33FE7B" w14:textId="77777777" w:rsidR="00056AEE" w:rsidRDefault="00A00CB7">
            <w:pPr>
              <w:pStyle w:val="CellTextValue"/>
            </w:pPr>
            <w:r>
              <w:t>30.00</w:t>
            </w:r>
          </w:p>
        </w:tc>
        <w:tc>
          <w:tcPr>
            <w:tcW w:w="0" w:type="auto"/>
          </w:tcPr>
          <w:p w14:paraId="41B67ABE" w14:textId="77777777" w:rsidR="00056AEE" w:rsidRDefault="00A00CB7">
            <w:pPr>
              <w:pStyle w:val="CellTextValue"/>
            </w:pPr>
            <w:r>
              <w:t>70.00</w:t>
            </w:r>
          </w:p>
        </w:tc>
        <w:tc>
          <w:tcPr>
            <w:tcW w:w="0" w:type="auto"/>
          </w:tcPr>
          <w:p w14:paraId="108F9E7F" w14:textId="77777777" w:rsidR="00056AEE" w:rsidRDefault="00A00CB7">
            <w:pPr>
              <w:pStyle w:val="CellTextValue"/>
            </w:pPr>
            <w:r>
              <w:t>50.00</w:t>
            </w:r>
          </w:p>
        </w:tc>
        <w:tc>
          <w:tcPr>
            <w:tcW w:w="0" w:type="auto"/>
          </w:tcPr>
          <w:p w14:paraId="70C02EF2" w14:textId="77777777" w:rsidR="00056AEE" w:rsidRDefault="00056AEE"/>
        </w:tc>
        <w:tc>
          <w:tcPr>
            <w:tcW w:w="0" w:type="auto"/>
          </w:tcPr>
          <w:p w14:paraId="17D5FEB1" w14:textId="77777777" w:rsidR="00056AEE" w:rsidRDefault="00056AEE"/>
        </w:tc>
      </w:tr>
    </w:tbl>
    <w:p w14:paraId="7FA74FC1" w14:textId="77777777" w:rsidR="00056AEE" w:rsidRDefault="00056AEE">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3A38F8" w14:paraId="70E75BF0" w14:textId="77777777" w:rsidTr="003A38F8">
        <w:tc>
          <w:tcPr>
            <w:tcW w:w="0" w:type="auto"/>
            <w:gridSpan w:val="2"/>
          </w:tcPr>
          <w:p w14:paraId="50ABAA8E" w14:textId="77777777" w:rsidR="00056AEE" w:rsidRDefault="00A00CB7">
            <w:pPr>
              <w:pStyle w:val="CellTextValue"/>
            </w:pPr>
            <w:r>
              <w:rPr>
                <w:b/>
              </w:rPr>
              <w:t>General conditions relating to this call</w:t>
            </w:r>
          </w:p>
        </w:tc>
      </w:tr>
      <w:tr w:rsidR="00056AEE" w14:paraId="61DADA46" w14:textId="77777777">
        <w:tc>
          <w:tcPr>
            <w:tcW w:w="0" w:type="auto"/>
          </w:tcPr>
          <w:p w14:paraId="76BF087C" w14:textId="77777777" w:rsidR="00056AEE" w:rsidRDefault="00A00CB7">
            <w:pPr>
              <w:pStyle w:val="CellTextValue"/>
              <w:jc w:val="left"/>
            </w:pPr>
            <w:r>
              <w:rPr>
                <w:i/>
              </w:rPr>
              <w:t>Admissibility conditions</w:t>
            </w:r>
          </w:p>
        </w:tc>
        <w:tc>
          <w:tcPr>
            <w:tcW w:w="0" w:type="auto"/>
          </w:tcPr>
          <w:p w14:paraId="19B57875" w14:textId="77777777" w:rsidR="00056AEE" w:rsidRDefault="00A00CB7">
            <w:pPr>
              <w:pStyle w:val="CellTextValue"/>
            </w:pPr>
            <w:r>
              <w:rPr>
                <w:color w:val="000000"/>
              </w:rPr>
              <w:t>The conditions are described in General Annex A.</w:t>
            </w:r>
          </w:p>
        </w:tc>
      </w:tr>
      <w:tr w:rsidR="00056AEE" w14:paraId="45FAC889" w14:textId="77777777">
        <w:tc>
          <w:tcPr>
            <w:tcW w:w="0" w:type="auto"/>
          </w:tcPr>
          <w:p w14:paraId="23F48AFE" w14:textId="77777777" w:rsidR="00056AEE" w:rsidRDefault="00A00CB7">
            <w:pPr>
              <w:pStyle w:val="CellTextValue"/>
              <w:jc w:val="left"/>
            </w:pPr>
            <w:r>
              <w:rPr>
                <w:i/>
              </w:rPr>
              <w:t>Eligibility conditions</w:t>
            </w:r>
          </w:p>
        </w:tc>
        <w:tc>
          <w:tcPr>
            <w:tcW w:w="0" w:type="auto"/>
          </w:tcPr>
          <w:p w14:paraId="77850AC3" w14:textId="77777777" w:rsidR="00056AEE" w:rsidRDefault="00A00CB7">
            <w:pPr>
              <w:pStyle w:val="CellTextValue"/>
            </w:pPr>
            <w:r>
              <w:rPr>
                <w:color w:val="000000"/>
              </w:rPr>
              <w:t>The conditions are described in General Annex B.</w:t>
            </w:r>
          </w:p>
        </w:tc>
      </w:tr>
      <w:tr w:rsidR="00056AEE" w14:paraId="0EA3B8BC" w14:textId="77777777">
        <w:tc>
          <w:tcPr>
            <w:tcW w:w="0" w:type="auto"/>
          </w:tcPr>
          <w:p w14:paraId="40EC069D" w14:textId="77777777" w:rsidR="00056AEE" w:rsidRDefault="00A00CB7">
            <w:pPr>
              <w:pStyle w:val="CellTextValue"/>
              <w:jc w:val="left"/>
            </w:pPr>
            <w:r>
              <w:rPr>
                <w:i/>
              </w:rPr>
              <w:t>Financial and operational capacity and exclusion</w:t>
            </w:r>
          </w:p>
        </w:tc>
        <w:tc>
          <w:tcPr>
            <w:tcW w:w="0" w:type="auto"/>
          </w:tcPr>
          <w:p w14:paraId="39C67C84" w14:textId="77777777" w:rsidR="00056AEE" w:rsidRDefault="00A00CB7">
            <w:pPr>
              <w:pStyle w:val="CellTextValue"/>
            </w:pPr>
            <w:r>
              <w:rPr>
                <w:color w:val="000000"/>
              </w:rPr>
              <w:t>The criteria are described in General Annex C.</w:t>
            </w:r>
          </w:p>
        </w:tc>
      </w:tr>
      <w:tr w:rsidR="00056AEE" w14:paraId="22FCF62C" w14:textId="77777777">
        <w:tc>
          <w:tcPr>
            <w:tcW w:w="0" w:type="auto"/>
          </w:tcPr>
          <w:p w14:paraId="39F2C389" w14:textId="77777777" w:rsidR="00056AEE" w:rsidRDefault="00A00CB7">
            <w:pPr>
              <w:pStyle w:val="CellTextValue"/>
              <w:jc w:val="left"/>
            </w:pPr>
            <w:r>
              <w:rPr>
                <w:i/>
              </w:rPr>
              <w:t>Award criteria</w:t>
            </w:r>
          </w:p>
        </w:tc>
        <w:tc>
          <w:tcPr>
            <w:tcW w:w="0" w:type="auto"/>
          </w:tcPr>
          <w:p w14:paraId="3144444C" w14:textId="77777777" w:rsidR="00056AEE" w:rsidRDefault="00A00CB7">
            <w:pPr>
              <w:pStyle w:val="CellTextValue"/>
            </w:pPr>
            <w:r>
              <w:rPr>
                <w:color w:val="000000"/>
              </w:rPr>
              <w:t>The criteria are described in General Annex D.</w:t>
            </w:r>
          </w:p>
        </w:tc>
      </w:tr>
      <w:tr w:rsidR="00056AEE" w14:paraId="5750879F" w14:textId="77777777">
        <w:tc>
          <w:tcPr>
            <w:tcW w:w="0" w:type="auto"/>
          </w:tcPr>
          <w:p w14:paraId="5D7CB24D" w14:textId="77777777" w:rsidR="00056AEE" w:rsidRDefault="00A00CB7">
            <w:pPr>
              <w:pStyle w:val="CellTextValue"/>
              <w:jc w:val="left"/>
            </w:pPr>
            <w:r>
              <w:rPr>
                <w:i/>
              </w:rPr>
              <w:t>Documents</w:t>
            </w:r>
          </w:p>
        </w:tc>
        <w:tc>
          <w:tcPr>
            <w:tcW w:w="0" w:type="auto"/>
          </w:tcPr>
          <w:p w14:paraId="13D11648" w14:textId="77777777" w:rsidR="00056AEE" w:rsidRDefault="00A00CB7">
            <w:pPr>
              <w:pStyle w:val="CellTextValue"/>
            </w:pPr>
            <w:r>
              <w:rPr>
                <w:color w:val="000000"/>
              </w:rPr>
              <w:t>The documents are described in General Annex E.</w:t>
            </w:r>
          </w:p>
        </w:tc>
      </w:tr>
      <w:tr w:rsidR="00056AEE" w14:paraId="798E5634" w14:textId="77777777">
        <w:tc>
          <w:tcPr>
            <w:tcW w:w="0" w:type="auto"/>
          </w:tcPr>
          <w:p w14:paraId="476FB2D5" w14:textId="77777777" w:rsidR="00056AEE" w:rsidRDefault="00A00CB7">
            <w:pPr>
              <w:pStyle w:val="CellTextValue"/>
              <w:jc w:val="left"/>
            </w:pPr>
            <w:r>
              <w:rPr>
                <w:i/>
              </w:rPr>
              <w:lastRenderedPageBreak/>
              <w:t>Procedure</w:t>
            </w:r>
          </w:p>
        </w:tc>
        <w:tc>
          <w:tcPr>
            <w:tcW w:w="0" w:type="auto"/>
          </w:tcPr>
          <w:p w14:paraId="232C6794" w14:textId="77777777" w:rsidR="00056AEE" w:rsidRDefault="00A00CB7">
            <w:pPr>
              <w:pStyle w:val="CellTextValue"/>
            </w:pPr>
            <w:r>
              <w:rPr>
                <w:color w:val="000000"/>
              </w:rPr>
              <w:t>The procedure is described in General Annex F.</w:t>
            </w:r>
          </w:p>
        </w:tc>
      </w:tr>
      <w:tr w:rsidR="00056AEE" w14:paraId="5747B3A6" w14:textId="77777777">
        <w:tc>
          <w:tcPr>
            <w:tcW w:w="0" w:type="auto"/>
          </w:tcPr>
          <w:p w14:paraId="648E06FE" w14:textId="77777777" w:rsidR="00056AEE" w:rsidRDefault="00A00CB7">
            <w:pPr>
              <w:pStyle w:val="CellTextValue"/>
              <w:jc w:val="left"/>
            </w:pPr>
            <w:r>
              <w:rPr>
                <w:i/>
              </w:rPr>
              <w:t>Legal and financial set-up of the Grant Agreements</w:t>
            </w:r>
          </w:p>
        </w:tc>
        <w:tc>
          <w:tcPr>
            <w:tcW w:w="0" w:type="auto"/>
          </w:tcPr>
          <w:p w14:paraId="37AF3316" w14:textId="77777777" w:rsidR="00056AEE" w:rsidRDefault="00A00CB7">
            <w:pPr>
              <w:pStyle w:val="CellTextValue"/>
            </w:pPr>
            <w:r>
              <w:rPr>
                <w:color w:val="000000"/>
              </w:rPr>
              <w:t>The rules are described in General Annex G.</w:t>
            </w:r>
          </w:p>
        </w:tc>
      </w:tr>
    </w:tbl>
    <w:p w14:paraId="74C3CD47" w14:textId="77777777" w:rsidR="00056AEE" w:rsidRDefault="00056AEE">
      <w:pPr>
        <w:spacing w:after="0" w:line="150" w:lineRule="auto"/>
      </w:pPr>
    </w:p>
    <w:p w14:paraId="16A7252A" w14:textId="77777777" w:rsidR="00056AEE" w:rsidRPr="00A00CB7" w:rsidRDefault="00A00CB7">
      <w:pPr>
        <w:pStyle w:val="HeadingTwo"/>
        <w:rPr>
          <w:lang w:val="en-IE"/>
        </w:rPr>
      </w:pPr>
      <w:bookmarkStart w:id="6" w:name="_Toc171689853"/>
      <w:r w:rsidRPr="00A00CB7">
        <w:rPr>
          <w:lang w:val="en-IE"/>
        </w:rPr>
        <w:t>Call - Partnerships in Health - European partnership fostering a European Research Area (ERA) for health research (2025)</w:t>
      </w:r>
      <w:bookmarkEnd w:id="6"/>
    </w:p>
    <w:p w14:paraId="25498637" w14:textId="77777777" w:rsidR="00056AEE" w:rsidRDefault="00A00CB7">
      <w:pPr>
        <w:pStyle w:val="CallIdentifier"/>
      </w:pPr>
      <w:r>
        <w:t>HORIZON-HLTH-2025-03</w:t>
      </w:r>
    </w:p>
    <w:p w14:paraId="10AEAA2D" w14:textId="77777777" w:rsidR="00056AEE" w:rsidRDefault="00A00CB7">
      <w:pPr>
        <w:pStyle w:val="HeadingThree"/>
      </w:pPr>
      <w:bookmarkStart w:id="7" w:name="_Toc171689854"/>
      <w:r>
        <w:t>Overview of this call</w:t>
      </w:r>
      <w:r>
        <w:rPr>
          <w:vertAlign w:val="superscript"/>
        </w:rPr>
        <w:footnoteReference w:id="24"/>
      </w:r>
      <w:bookmarkEnd w:id="7"/>
    </w:p>
    <w:p w14:paraId="17C32AAF" w14:textId="77777777" w:rsidR="00056AEE" w:rsidRDefault="00A00CB7">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44"/>
        <w:gridCol w:w="1217"/>
        <w:gridCol w:w="1017"/>
        <w:gridCol w:w="1404"/>
        <w:gridCol w:w="1190"/>
      </w:tblGrid>
      <w:tr w:rsidR="00056AEE" w14:paraId="00B9F503" w14:textId="77777777">
        <w:tc>
          <w:tcPr>
            <w:tcW w:w="2000" w:type="dxa"/>
            <w:vMerge w:val="restart"/>
          </w:tcPr>
          <w:p w14:paraId="3549471A" w14:textId="77777777" w:rsidR="00056AEE" w:rsidRDefault="00A00CB7">
            <w:pPr>
              <w:pStyle w:val="CellHeaderTextValue"/>
            </w:pPr>
            <w:r>
              <w:t>Topics</w:t>
            </w:r>
          </w:p>
        </w:tc>
        <w:tc>
          <w:tcPr>
            <w:tcW w:w="800" w:type="dxa"/>
            <w:vMerge w:val="restart"/>
          </w:tcPr>
          <w:p w14:paraId="57398DE1" w14:textId="77777777" w:rsidR="00056AEE" w:rsidRDefault="00A00CB7">
            <w:pPr>
              <w:pStyle w:val="CellHeaderTextValue"/>
            </w:pPr>
            <w:r>
              <w:t>Type of Action</w:t>
            </w:r>
          </w:p>
        </w:tc>
        <w:tc>
          <w:tcPr>
            <w:tcW w:w="0" w:type="auto"/>
          </w:tcPr>
          <w:p w14:paraId="5604DDFC" w14:textId="77777777" w:rsidR="00056AEE" w:rsidRDefault="00A00CB7">
            <w:pPr>
              <w:pStyle w:val="CellHeaderTextValue"/>
            </w:pPr>
            <w:r>
              <w:t>Budgets (EUR million)</w:t>
            </w:r>
          </w:p>
        </w:tc>
        <w:tc>
          <w:tcPr>
            <w:tcW w:w="0" w:type="auto"/>
            <w:vMerge w:val="restart"/>
          </w:tcPr>
          <w:p w14:paraId="13C4DFF2" w14:textId="77777777" w:rsidR="00056AEE" w:rsidRDefault="00A00CB7">
            <w:pPr>
              <w:pStyle w:val="CellHeaderTextValue"/>
            </w:pPr>
            <w:r>
              <w:t>Expected EU contribution per project (EUR million)</w:t>
            </w:r>
            <w:r>
              <w:rPr>
                <w:vertAlign w:val="superscript"/>
              </w:rPr>
              <w:footnoteReference w:id="25"/>
            </w:r>
          </w:p>
        </w:tc>
        <w:tc>
          <w:tcPr>
            <w:tcW w:w="800" w:type="dxa"/>
            <w:vMerge w:val="restart"/>
          </w:tcPr>
          <w:p w14:paraId="02D000C3" w14:textId="77777777" w:rsidR="00056AEE" w:rsidRDefault="00A00CB7">
            <w:pPr>
              <w:pStyle w:val="CellHeaderTextValue"/>
            </w:pPr>
            <w:r>
              <w:t>Indicative number of projects expected to be funded</w:t>
            </w:r>
          </w:p>
        </w:tc>
      </w:tr>
      <w:tr w:rsidR="00056AEE" w14:paraId="7A034908" w14:textId="77777777">
        <w:tc>
          <w:tcPr>
            <w:tcW w:w="0" w:type="auto"/>
            <w:vMerge/>
          </w:tcPr>
          <w:p w14:paraId="78F92218" w14:textId="77777777" w:rsidR="00056AEE" w:rsidRDefault="00056AEE"/>
        </w:tc>
        <w:tc>
          <w:tcPr>
            <w:tcW w:w="0" w:type="auto"/>
            <w:vMerge/>
          </w:tcPr>
          <w:p w14:paraId="089DF7CA" w14:textId="77777777" w:rsidR="00056AEE" w:rsidRDefault="00056AEE"/>
        </w:tc>
        <w:tc>
          <w:tcPr>
            <w:tcW w:w="0" w:type="auto"/>
          </w:tcPr>
          <w:p w14:paraId="2F37B79B" w14:textId="77777777" w:rsidR="00056AEE" w:rsidRDefault="00A00CB7">
            <w:pPr>
              <w:pStyle w:val="CellHeaderTextValue"/>
            </w:pPr>
            <w:r>
              <w:t>2025</w:t>
            </w:r>
          </w:p>
        </w:tc>
        <w:tc>
          <w:tcPr>
            <w:tcW w:w="0" w:type="auto"/>
            <w:vMerge/>
          </w:tcPr>
          <w:p w14:paraId="078B8A22" w14:textId="77777777" w:rsidR="00056AEE" w:rsidRDefault="00056AEE"/>
        </w:tc>
        <w:tc>
          <w:tcPr>
            <w:tcW w:w="0" w:type="auto"/>
            <w:vMerge/>
          </w:tcPr>
          <w:p w14:paraId="0F3EDF25" w14:textId="77777777" w:rsidR="00056AEE" w:rsidRDefault="00056AEE"/>
        </w:tc>
      </w:tr>
      <w:tr w:rsidR="003A38F8" w14:paraId="1FE460CE" w14:textId="77777777" w:rsidTr="003A38F8">
        <w:tc>
          <w:tcPr>
            <w:tcW w:w="0" w:type="auto"/>
            <w:gridSpan w:val="5"/>
          </w:tcPr>
          <w:p w14:paraId="6B15B9C1" w14:textId="77777777" w:rsidR="00056AEE" w:rsidRDefault="00A00CB7">
            <w:pPr>
              <w:pStyle w:val="CellTextValue"/>
              <w:jc w:val="center"/>
            </w:pPr>
            <w:r>
              <w:t>Opening: 22 May 2025</w:t>
            </w:r>
          </w:p>
          <w:p w14:paraId="3B841913" w14:textId="77777777" w:rsidR="00056AEE" w:rsidRDefault="00A00CB7">
            <w:pPr>
              <w:pStyle w:val="CellTextValue"/>
              <w:jc w:val="center"/>
            </w:pPr>
            <w:r>
              <w:t>Deadline(s): 18 Sep 2025</w:t>
            </w:r>
          </w:p>
        </w:tc>
      </w:tr>
      <w:tr w:rsidR="003A38F8" w14:paraId="14D84262" w14:textId="77777777" w:rsidTr="003A38F8">
        <w:tc>
          <w:tcPr>
            <w:tcW w:w="0" w:type="auto"/>
            <w:gridSpan w:val="5"/>
          </w:tcPr>
          <w:p w14:paraId="17628AE4" w14:textId="77777777" w:rsidR="00056AEE" w:rsidRDefault="00A00CB7">
            <w:pPr>
              <w:pStyle w:val="CellTextValue"/>
            </w:pPr>
            <w:r>
              <w:t>Destination - Tackling diseases and reducing disease burden</w:t>
            </w:r>
          </w:p>
        </w:tc>
      </w:tr>
      <w:tr w:rsidR="00056AEE" w14:paraId="5F8E790D" w14:textId="77777777">
        <w:tc>
          <w:tcPr>
            <w:tcW w:w="0" w:type="auto"/>
          </w:tcPr>
          <w:p w14:paraId="477764B8" w14:textId="77777777" w:rsidR="00056AEE" w:rsidRDefault="00A00CB7">
            <w:pPr>
              <w:pStyle w:val="CellTextValue"/>
            </w:pPr>
            <w:r>
              <w:t>HORIZON-HLTH-2025-03-DISEASE-01: European partnership fostering a European Research Area (ERA) for health research (Phase 2)</w:t>
            </w:r>
          </w:p>
        </w:tc>
        <w:tc>
          <w:tcPr>
            <w:tcW w:w="0" w:type="auto"/>
          </w:tcPr>
          <w:p w14:paraId="4A5FCCBF" w14:textId="77777777" w:rsidR="00056AEE" w:rsidRDefault="00A00CB7">
            <w:pPr>
              <w:pStyle w:val="CellTextValue"/>
            </w:pPr>
            <w:r>
              <w:t>COFUND</w:t>
            </w:r>
          </w:p>
        </w:tc>
        <w:tc>
          <w:tcPr>
            <w:tcW w:w="0" w:type="auto"/>
            <w:vMerge w:val="restart"/>
          </w:tcPr>
          <w:p w14:paraId="583E966C" w14:textId="77777777" w:rsidR="00056AEE" w:rsidRDefault="00A00CB7">
            <w:pPr>
              <w:pStyle w:val="CellTextValue"/>
            </w:pPr>
            <w:r>
              <w:t>77.00</w:t>
            </w:r>
          </w:p>
        </w:tc>
        <w:tc>
          <w:tcPr>
            <w:tcW w:w="0" w:type="auto"/>
          </w:tcPr>
          <w:p w14:paraId="741DA1AC" w14:textId="77777777" w:rsidR="00056AEE" w:rsidRDefault="00A00CB7">
            <w:pPr>
              <w:pStyle w:val="CellTextValue"/>
            </w:pPr>
            <w:r>
              <w:t>Around 77.00</w:t>
            </w:r>
          </w:p>
        </w:tc>
        <w:tc>
          <w:tcPr>
            <w:tcW w:w="0" w:type="auto"/>
          </w:tcPr>
          <w:p w14:paraId="2FD027AA" w14:textId="77777777" w:rsidR="00056AEE" w:rsidRDefault="00A00CB7">
            <w:pPr>
              <w:pStyle w:val="CellTextValue"/>
            </w:pPr>
            <w:r>
              <w:t>1</w:t>
            </w:r>
          </w:p>
        </w:tc>
      </w:tr>
      <w:tr w:rsidR="00056AEE" w14:paraId="686379F5" w14:textId="77777777">
        <w:tc>
          <w:tcPr>
            <w:tcW w:w="0" w:type="auto"/>
          </w:tcPr>
          <w:p w14:paraId="77C6CED2" w14:textId="77777777" w:rsidR="00056AEE" w:rsidRDefault="00A00CB7">
            <w:pPr>
              <w:pStyle w:val="CellTextValue"/>
            </w:pPr>
            <w:r>
              <w:t>Overall indicative budget</w:t>
            </w:r>
          </w:p>
        </w:tc>
        <w:tc>
          <w:tcPr>
            <w:tcW w:w="0" w:type="auto"/>
          </w:tcPr>
          <w:p w14:paraId="20F94C19" w14:textId="77777777" w:rsidR="00056AEE" w:rsidRDefault="00056AEE"/>
        </w:tc>
        <w:tc>
          <w:tcPr>
            <w:tcW w:w="0" w:type="auto"/>
          </w:tcPr>
          <w:p w14:paraId="16E90DA9" w14:textId="77777777" w:rsidR="00056AEE" w:rsidRDefault="00A00CB7">
            <w:pPr>
              <w:pStyle w:val="CellTextValue"/>
            </w:pPr>
            <w:r>
              <w:t>77.00</w:t>
            </w:r>
          </w:p>
        </w:tc>
        <w:tc>
          <w:tcPr>
            <w:tcW w:w="0" w:type="auto"/>
          </w:tcPr>
          <w:p w14:paraId="05BDD72D" w14:textId="77777777" w:rsidR="00056AEE" w:rsidRDefault="00056AEE"/>
        </w:tc>
        <w:tc>
          <w:tcPr>
            <w:tcW w:w="0" w:type="auto"/>
          </w:tcPr>
          <w:p w14:paraId="5EF49776" w14:textId="77777777" w:rsidR="00056AEE" w:rsidRDefault="00056AEE"/>
        </w:tc>
      </w:tr>
    </w:tbl>
    <w:p w14:paraId="4B4AA204" w14:textId="77777777" w:rsidR="00056AEE" w:rsidRDefault="00056AEE">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3A38F8" w14:paraId="5050650F" w14:textId="77777777" w:rsidTr="003A38F8">
        <w:tc>
          <w:tcPr>
            <w:tcW w:w="0" w:type="auto"/>
            <w:gridSpan w:val="2"/>
          </w:tcPr>
          <w:p w14:paraId="09365085" w14:textId="77777777" w:rsidR="00056AEE" w:rsidRDefault="00A00CB7">
            <w:pPr>
              <w:pStyle w:val="CellTextValue"/>
            </w:pPr>
            <w:r>
              <w:rPr>
                <w:b/>
              </w:rPr>
              <w:t>General conditions relating to this call</w:t>
            </w:r>
          </w:p>
        </w:tc>
      </w:tr>
      <w:tr w:rsidR="00056AEE" w14:paraId="028BD46B" w14:textId="77777777">
        <w:tc>
          <w:tcPr>
            <w:tcW w:w="0" w:type="auto"/>
          </w:tcPr>
          <w:p w14:paraId="3741CEC9" w14:textId="77777777" w:rsidR="00056AEE" w:rsidRDefault="00A00CB7">
            <w:pPr>
              <w:pStyle w:val="CellTextValue"/>
              <w:jc w:val="left"/>
            </w:pPr>
            <w:r>
              <w:rPr>
                <w:i/>
              </w:rPr>
              <w:t>Admissibility conditions</w:t>
            </w:r>
          </w:p>
        </w:tc>
        <w:tc>
          <w:tcPr>
            <w:tcW w:w="0" w:type="auto"/>
          </w:tcPr>
          <w:p w14:paraId="72A6C2CB" w14:textId="77777777" w:rsidR="00056AEE" w:rsidRDefault="00A00CB7">
            <w:pPr>
              <w:pStyle w:val="CellTextValue"/>
            </w:pPr>
            <w:r>
              <w:rPr>
                <w:color w:val="000000"/>
              </w:rPr>
              <w:t xml:space="preserve">The conditions are described in General </w:t>
            </w:r>
            <w:r>
              <w:rPr>
                <w:color w:val="000000"/>
              </w:rPr>
              <w:lastRenderedPageBreak/>
              <w:t>Annex A.</w:t>
            </w:r>
          </w:p>
        </w:tc>
      </w:tr>
      <w:tr w:rsidR="00056AEE" w14:paraId="045CC2CC" w14:textId="77777777">
        <w:tc>
          <w:tcPr>
            <w:tcW w:w="0" w:type="auto"/>
          </w:tcPr>
          <w:p w14:paraId="4960CB49" w14:textId="77777777" w:rsidR="00056AEE" w:rsidRDefault="00A00CB7">
            <w:pPr>
              <w:pStyle w:val="CellTextValue"/>
              <w:jc w:val="left"/>
            </w:pPr>
            <w:r>
              <w:rPr>
                <w:i/>
              </w:rPr>
              <w:lastRenderedPageBreak/>
              <w:t>Eligibility conditions</w:t>
            </w:r>
          </w:p>
        </w:tc>
        <w:tc>
          <w:tcPr>
            <w:tcW w:w="0" w:type="auto"/>
          </w:tcPr>
          <w:p w14:paraId="21639520" w14:textId="77777777" w:rsidR="00056AEE" w:rsidRDefault="00A00CB7">
            <w:pPr>
              <w:pStyle w:val="CellTextValue"/>
            </w:pPr>
            <w:r>
              <w:rPr>
                <w:color w:val="000000"/>
              </w:rPr>
              <w:t>The conditions are described in General Annex B.</w:t>
            </w:r>
          </w:p>
        </w:tc>
      </w:tr>
      <w:tr w:rsidR="00056AEE" w14:paraId="6D83B9FD" w14:textId="77777777">
        <w:tc>
          <w:tcPr>
            <w:tcW w:w="0" w:type="auto"/>
          </w:tcPr>
          <w:p w14:paraId="75A9BB3C" w14:textId="77777777" w:rsidR="00056AEE" w:rsidRDefault="00A00CB7">
            <w:pPr>
              <w:pStyle w:val="CellTextValue"/>
              <w:jc w:val="left"/>
            </w:pPr>
            <w:r>
              <w:rPr>
                <w:i/>
              </w:rPr>
              <w:t>Financial and operational capacity and exclusion</w:t>
            </w:r>
          </w:p>
        </w:tc>
        <w:tc>
          <w:tcPr>
            <w:tcW w:w="0" w:type="auto"/>
          </w:tcPr>
          <w:p w14:paraId="0B80F6AB" w14:textId="77777777" w:rsidR="00056AEE" w:rsidRDefault="00A00CB7">
            <w:pPr>
              <w:pStyle w:val="CellTextValue"/>
            </w:pPr>
            <w:r>
              <w:rPr>
                <w:color w:val="000000"/>
              </w:rPr>
              <w:t>The criteria are described in General Annex C.</w:t>
            </w:r>
          </w:p>
        </w:tc>
      </w:tr>
      <w:tr w:rsidR="00056AEE" w14:paraId="5B03121D" w14:textId="77777777">
        <w:tc>
          <w:tcPr>
            <w:tcW w:w="0" w:type="auto"/>
          </w:tcPr>
          <w:p w14:paraId="7182FDC4" w14:textId="77777777" w:rsidR="00056AEE" w:rsidRDefault="00A00CB7">
            <w:pPr>
              <w:pStyle w:val="CellTextValue"/>
              <w:jc w:val="left"/>
            </w:pPr>
            <w:r>
              <w:rPr>
                <w:i/>
              </w:rPr>
              <w:t>Award criteria</w:t>
            </w:r>
          </w:p>
        </w:tc>
        <w:tc>
          <w:tcPr>
            <w:tcW w:w="0" w:type="auto"/>
          </w:tcPr>
          <w:p w14:paraId="494E46E8" w14:textId="77777777" w:rsidR="00056AEE" w:rsidRDefault="00A00CB7">
            <w:pPr>
              <w:pStyle w:val="CellTextValue"/>
            </w:pPr>
            <w:r>
              <w:rPr>
                <w:color w:val="000000"/>
              </w:rPr>
              <w:t>The criteria are described in General Annex D.</w:t>
            </w:r>
          </w:p>
        </w:tc>
      </w:tr>
      <w:tr w:rsidR="00056AEE" w14:paraId="781AC06C" w14:textId="77777777">
        <w:tc>
          <w:tcPr>
            <w:tcW w:w="0" w:type="auto"/>
          </w:tcPr>
          <w:p w14:paraId="1FDAC897" w14:textId="77777777" w:rsidR="00056AEE" w:rsidRDefault="00A00CB7">
            <w:pPr>
              <w:pStyle w:val="CellTextValue"/>
              <w:jc w:val="left"/>
            </w:pPr>
            <w:r>
              <w:rPr>
                <w:i/>
              </w:rPr>
              <w:t>Documents</w:t>
            </w:r>
          </w:p>
        </w:tc>
        <w:tc>
          <w:tcPr>
            <w:tcW w:w="0" w:type="auto"/>
          </w:tcPr>
          <w:p w14:paraId="274E0B78" w14:textId="77777777" w:rsidR="00056AEE" w:rsidRDefault="00A00CB7">
            <w:pPr>
              <w:pStyle w:val="CellTextValue"/>
            </w:pPr>
            <w:r>
              <w:rPr>
                <w:color w:val="000000"/>
              </w:rPr>
              <w:t>The documents are described in General Annex E.</w:t>
            </w:r>
          </w:p>
        </w:tc>
      </w:tr>
      <w:tr w:rsidR="00056AEE" w14:paraId="7F92537F" w14:textId="77777777">
        <w:tc>
          <w:tcPr>
            <w:tcW w:w="0" w:type="auto"/>
          </w:tcPr>
          <w:p w14:paraId="3554FA87" w14:textId="77777777" w:rsidR="00056AEE" w:rsidRDefault="00A00CB7">
            <w:pPr>
              <w:pStyle w:val="CellTextValue"/>
              <w:jc w:val="left"/>
            </w:pPr>
            <w:r>
              <w:rPr>
                <w:i/>
              </w:rPr>
              <w:t>Procedure</w:t>
            </w:r>
          </w:p>
        </w:tc>
        <w:tc>
          <w:tcPr>
            <w:tcW w:w="0" w:type="auto"/>
          </w:tcPr>
          <w:p w14:paraId="181BDA4C" w14:textId="77777777" w:rsidR="00056AEE" w:rsidRDefault="00A00CB7">
            <w:pPr>
              <w:pStyle w:val="CellTextValue"/>
            </w:pPr>
            <w:r>
              <w:rPr>
                <w:color w:val="000000"/>
              </w:rPr>
              <w:t>The procedure is described in General Annex F.</w:t>
            </w:r>
          </w:p>
        </w:tc>
      </w:tr>
      <w:tr w:rsidR="00056AEE" w14:paraId="2CB64516" w14:textId="77777777">
        <w:tc>
          <w:tcPr>
            <w:tcW w:w="0" w:type="auto"/>
          </w:tcPr>
          <w:p w14:paraId="2B9A30B0" w14:textId="77777777" w:rsidR="00056AEE" w:rsidRDefault="00A00CB7">
            <w:pPr>
              <w:pStyle w:val="CellTextValue"/>
              <w:jc w:val="left"/>
            </w:pPr>
            <w:r>
              <w:rPr>
                <w:i/>
              </w:rPr>
              <w:t>Legal and financial set-up of the Grant Agreements</w:t>
            </w:r>
          </w:p>
        </w:tc>
        <w:tc>
          <w:tcPr>
            <w:tcW w:w="0" w:type="auto"/>
          </w:tcPr>
          <w:p w14:paraId="554AAC06" w14:textId="77777777" w:rsidR="00056AEE" w:rsidRDefault="00A00CB7">
            <w:pPr>
              <w:pStyle w:val="CellTextValue"/>
            </w:pPr>
            <w:r>
              <w:rPr>
                <w:color w:val="000000"/>
              </w:rPr>
              <w:t>The rules are described in General Annex G.</w:t>
            </w:r>
          </w:p>
        </w:tc>
      </w:tr>
    </w:tbl>
    <w:p w14:paraId="67852DD6" w14:textId="77777777" w:rsidR="00056AEE" w:rsidRDefault="00056AEE">
      <w:pPr>
        <w:spacing w:after="0" w:line="150" w:lineRule="auto"/>
      </w:pPr>
    </w:p>
    <w:p w14:paraId="7B3C6A91" w14:textId="77777777" w:rsidR="00056AEE" w:rsidRDefault="00A00CB7">
      <w:pPr>
        <w:pStyle w:val="HeadingOne"/>
        <w:pageBreakBefore/>
      </w:pPr>
      <w:bookmarkStart w:id="8" w:name="_Toc171689855"/>
      <w:r>
        <w:lastRenderedPageBreak/>
        <w:t>Destinations</w:t>
      </w:r>
      <w:bookmarkEnd w:id="8"/>
    </w:p>
    <w:p w14:paraId="57D1383B" w14:textId="77777777" w:rsidR="00056AEE" w:rsidRPr="00A00CB7" w:rsidRDefault="00A00CB7">
      <w:pPr>
        <w:pStyle w:val="HeadingTwo"/>
        <w:rPr>
          <w:lang w:val="en-IE"/>
        </w:rPr>
      </w:pPr>
      <w:bookmarkStart w:id="9" w:name="_Toc171689856"/>
      <w:r w:rsidRPr="00A00CB7">
        <w:rPr>
          <w:lang w:val="en-IE"/>
        </w:rPr>
        <w:t>Destination - Staying healthy in a rapidly changing society</w:t>
      </w:r>
      <w:bookmarkEnd w:id="9"/>
    </w:p>
    <w:p w14:paraId="10671D82" w14:textId="77777777" w:rsidR="00056AEE" w:rsidRDefault="00A00CB7">
      <w:r>
        <w:rPr>
          <w:color w:val="000000"/>
        </w:rPr>
        <w:t>Calls for proposals under this destination are directed towards the Key Strategic Orientation 2 “</w:t>
      </w:r>
      <w:r>
        <w:rPr>
          <w:i/>
          <w:color w:val="000000"/>
        </w:rPr>
        <w:t>The Digital transition</w:t>
      </w:r>
      <w:r>
        <w:rPr>
          <w:color w:val="000000"/>
        </w:rPr>
        <w:t>” and Key Strategic Orientation “</w:t>
      </w:r>
      <w:r>
        <w:rPr>
          <w:i/>
          <w:color w:val="000000"/>
        </w:rPr>
        <w:t>A more resilient, competitive, inclusive, and democratic Europe</w:t>
      </w:r>
      <w:r>
        <w:rPr>
          <w:color w:val="000000"/>
        </w:rPr>
        <w:t>” of Horizon Europe’s Strategic Plan 2025-2027.</w:t>
      </w:r>
    </w:p>
    <w:p w14:paraId="5EE3B12F" w14:textId="77777777" w:rsidR="00056AEE" w:rsidRDefault="00A00CB7">
      <w:r>
        <w:rPr>
          <w:color w:val="000000"/>
        </w:rPr>
        <w:t xml:space="preserve">Research and Innovation supported under this destination should contribute to the following expected impact, set out in the Strategic Plan for the Health Cluster: </w:t>
      </w:r>
      <w:r>
        <w:rPr>
          <w:i/>
          <w:color w:val="000000"/>
        </w:rPr>
        <w:t>“people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60113150" w14:textId="77777777" w:rsidR="00056AEE" w:rsidRDefault="00A00CB7">
      <w:r>
        <w:rPr>
          <w:color w:val="000000"/>
        </w:rPr>
        <w:t>People´s healthcare needs are different, depending on their age, stage of life and socioeconomic background. Their physical and mental health and wellbeing can be influenced by their individual situation as well as the broader societal context they are living in. Currently, more than 790 000 deaths per year in Europe are due to modifiable risk factors such as smoking, drinking, physical inactivity, and obesity. In addition, an estimated 135 million people in Europe live with a disability. With population ageing and the rising prevalence of chronic conditions due to noncommunicable diseases and injuries, this number is set to increase in the future. Upbringing, income, education levels, social and gender aspects can significantly impact health risks and how diseases are prevented and managed. To leave no one behind, reduce health inequalities and support healthy and active lives for all, it is crucial to provide suitable, tailor-made solutions, including for people with specific needs. The prevention and early detection of diseases along with support and empowerment of citizens regarding their own health and wellbeing are at the core of successful public health programmes in the future.</w:t>
      </w:r>
    </w:p>
    <w:p w14:paraId="0E9DB0B8" w14:textId="77777777" w:rsidR="00056AEE" w:rsidRDefault="00A00CB7">
      <w:r>
        <w:rPr>
          <w:color w:val="000000"/>
        </w:rPr>
        <w:t>Research and Innovation under this destination should help enhance the dialogue and coordination among stakeholders and policymakers, ensuring integration across different care settings to develop effective cross-sectoral solutions for holistic health promotion and disease prevention. Funded activities should seek to leverage the wealth of data sources, including real-world health data, to develop integrated and personalised health promotion and disease prevention strategies. These activities will benefit from emerging data resources such as the European Health Data Space (EHDS)</w:t>
      </w:r>
      <w:r>
        <w:rPr>
          <w:vertAlign w:val="superscript"/>
        </w:rPr>
        <w:footnoteReference w:id="26"/>
      </w:r>
      <w:r>
        <w:rPr>
          <w:color w:val="000000"/>
        </w:rPr>
        <w:t xml:space="preserve"> and European Open Science Cloud (EOSC)</w:t>
      </w:r>
      <w:r>
        <w:rPr>
          <w:vertAlign w:val="superscript"/>
        </w:rPr>
        <w:footnoteReference w:id="27"/>
      </w:r>
      <w:r>
        <w:rPr>
          <w:color w:val="000000"/>
        </w:rPr>
        <w:t>, and contribute to the European care strategy</w:t>
      </w:r>
      <w:r>
        <w:rPr>
          <w:vertAlign w:val="superscript"/>
        </w:rPr>
        <w:footnoteReference w:id="28"/>
      </w:r>
      <w:r>
        <w:rPr>
          <w:color w:val="000000"/>
        </w:rPr>
        <w:t xml:space="preserve"> and the digital transformation of health and care in </w:t>
      </w:r>
      <w:r>
        <w:rPr>
          <w:color w:val="000000"/>
        </w:rPr>
        <w:lastRenderedPageBreak/>
        <w:t>the EU</w:t>
      </w:r>
      <w:r>
        <w:rPr>
          <w:vertAlign w:val="superscript"/>
        </w:rPr>
        <w:footnoteReference w:id="29"/>
      </w:r>
      <w:r>
        <w:rPr>
          <w:color w:val="000000"/>
        </w:rPr>
        <w:t>.During the first four years of Horizon Europe (2021-2024), this destination focused on urgent health issues such as obesity prevention, digital health literacy, understanding health-to-disease transitions, and using Artificial Intelligence (AI) to predict chronic disease risks. It also emphasised holistic disease prevention, healthy aging, life course approaches to physical and mental health from early childhood, and personalised disease prevention.</w:t>
      </w:r>
    </w:p>
    <w:p w14:paraId="52913079" w14:textId="77777777" w:rsidR="00056AEE" w:rsidRDefault="00A00CB7">
      <w:r>
        <w:rPr>
          <w:color w:val="000000"/>
        </w:rPr>
        <w:t xml:space="preserve">In this work programme, the emphasis will be on enhancing the quality of life, autonomy, and empowerment of individuals with intellectual disabilities and their families through innovative medical, technological, and digital solutions. This includes comprehensive and personalised approaches to health promotion, disease prevention, and integrated care. Importantly, this focus addresses </w:t>
      </w:r>
      <w:proofErr w:type="spellStart"/>
      <w:r>
        <w:rPr>
          <w:color w:val="000000"/>
        </w:rPr>
        <w:t>habilitation</w:t>
      </w:r>
      <w:proofErr w:type="spellEnd"/>
      <w:r>
        <w:rPr>
          <w:color w:val="000000"/>
        </w:rPr>
        <w:t xml:space="preserve"> and rehabilitation for disabilities, which have not yet been funded under the Horizon Europe Health Cluster. This aligns with the EU Strategy for the Rights of Persons with Disabilities 2021-2030 and supports Pillar 17 of the European Pillar of Social Rights, which aims to promote the inclusion of people with disabilities.</w:t>
      </w:r>
    </w:p>
    <w:p w14:paraId="26FD838D" w14:textId="77777777" w:rsidR="00056AEE" w:rsidRDefault="00A00CB7">
      <w:r>
        <w:rPr>
          <w:color w:val="000000"/>
        </w:rPr>
        <w:t>To increase the impact of EU investments under Horizon Europe, the European Commission encourages and supports cooperation among EU-funded projects to foster cross-fertilisation and synergies. This includes networking, joint activities such as workshops, knowledge exchange, best practices development, and joint communication activities. Synergies can be explored not only between projects funded under the same topic, but also between projects funded under other topics, Clusters or pillars of Horizon Europe. For instance, collaborations may arise between projects related to European health research infrastructures (under Pillar I), the EIC strategic challenges on health (under Pillar III), or across the Clusters of Pillar II such as Cluster 2 “Culture, Creativity and Inclusive Society” focusing on social inclusion and health equity or Cluster 4 “Digital, Industry and Space” for data driven approaches for personalised disease prediction and prevention.</w:t>
      </w:r>
    </w:p>
    <w:p w14:paraId="66AC79C8" w14:textId="77777777" w:rsidR="00056AEE" w:rsidRDefault="00A00CB7">
      <w:r>
        <w:rPr>
          <w:color w:val="000000"/>
          <w:u w:val="single"/>
        </w:rPr>
        <w:t>Expected impacts</w:t>
      </w:r>
      <w:r>
        <w:rPr>
          <w:color w:val="000000"/>
        </w:rPr>
        <w:t>:</w:t>
      </w:r>
    </w:p>
    <w:p w14:paraId="01C8EB64" w14:textId="77777777" w:rsidR="00056AEE" w:rsidRDefault="00A00CB7">
      <w:r>
        <w:rPr>
          <w:color w:val="000000"/>
        </w:rPr>
        <w:t>Proposals for topics under this destination should set out a credible pathway to contributing to living and working in a health-promoting environment, and more specifically to one or several of the following impacts:</w:t>
      </w:r>
    </w:p>
    <w:p w14:paraId="13FB06DD" w14:textId="77777777" w:rsidR="00056AEE" w:rsidRDefault="00A00CB7" w:rsidP="003A38F8">
      <w:pPr>
        <w:pStyle w:val="Paragraphedeliste"/>
        <w:numPr>
          <w:ilvl w:val="0"/>
          <w:numId w:val="6"/>
        </w:numPr>
      </w:pPr>
      <w:r>
        <w:rPr>
          <w:color w:val="000000"/>
        </w:rPr>
        <w:t>Citizens adopt healthier lifestyles and behaviours, make healthier choices and maintain longer a healthy, independent and active life with a reduced disease burden, including at old ages or in other vulnerable stages of life.</w:t>
      </w:r>
    </w:p>
    <w:p w14:paraId="20431439" w14:textId="77777777" w:rsidR="00056AEE" w:rsidRDefault="00A00CB7" w:rsidP="003A38F8">
      <w:pPr>
        <w:pStyle w:val="Paragraphedeliste"/>
        <w:numPr>
          <w:ilvl w:val="0"/>
          <w:numId w:val="6"/>
        </w:numPr>
      </w:pPr>
      <w:r>
        <w:rPr>
          <w:color w:val="000000"/>
        </w:rPr>
        <w:t>Citizens are empowered to effectively manage their physical and mental health and wellbeing, monitor their health status, and interact with healthcare providers to optimise their wellbeing throughout life.</w:t>
      </w:r>
    </w:p>
    <w:p w14:paraId="486B8135" w14:textId="77777777" w:rsidR="00056AEE" w:rsidRDefault="00A00CB7" w:rsidP="003A38F8">
      <w:pPr>
        <w:pStyle w:val="Paragraphedeliste"/>
        <w:numPr>
          <w:ilvl w:val="0"/>
          <w:numId w:val="6"/>
        </w:numPr>
      </w:pPr>
      <w:r>
        <w:rPr>
          <w:color w:val="000000"/>
        </w:rPr>
        <w:lastRenderedPageBreak/>
        <w:t>Children and adolescents are empowered to better monitor and manage their physical, social and mental health with a view to lifelong healthy lifestyles.</w:t>
      </w:r>
    </w:p>
    <w:p w14:paraId="5F48B86D" w14:textId="77777777" w:rsidR="00056AEE" w:rsidRDefault="00A00CB7" w:rsidP="003A38F8">
      <w:pPr>
        <w:pStyle w:val="Paragraphedeliste"/>
        <w:numPr>
          <w:ilvl w:val="0"/>
          <w:numId w:val="6"/>
        </w:numPr>
      </w:pPr>
      <w:r>
        <w:rPr>
          <w:color w:val="000000"/>
        </w:rPr>
        <w:t>Society benefits from reduced economic and health burdens due to preventable illness and premature mortality, efficiency is increased by targeting scarce resources in appropriate, cost-effective ways, to areas of high social return, contributing to an improvement and optimisation of health and wellbeing of citizens and reduction of health inequalities.</w:t>
      </w:r>
    </w:p>
    <w:p w14:paraId="03D81634" w14:textId="77777777" w:rsidR="00056AEE" w:rsidRDefault="00A00CB7" w:rsidP="003A38F8">
      <w:pPr>
        <w:pStyle w:val="Paragraphedeliste"/>
        <w:numPr>
          <w:ilvl w:val="0"/>
          <w:numId w:val="6"/>
        </w:numPr>
      </w:pPr>
      <w:r>
        <w:rPr>
          <w:color w:val="000000"/>
        </w:rPr>
        <w:t>Citizens’ trust in knowledge-based health interventions and in guidance from health authorities is strengthened, including through improved health literacy, resulting in increased engagement in and adherence to effective strategies for health promotion, disease prevention and treatment, while digital literacy inequalities are minimised.</w:t>
      </w:r>
    </w:p>
    <w:p w14:paraId="13D86BE3" w14:textId="77777777" w:rsidR="00056AEE" w:rsidRDefault="00A00CB7" w:rsidP="003A38F8">
      <w:pPr>
        <w:pStyle w:val="Paragraphedeliste"/>
        <w:numPr>
          <w:ilvl w:val="0"/>
          <w:numId w:val="6"/>
        </w:numPr>
      </w:pPr>
      <w:r>
        <w:rPr>
          <w:color w:val="000000"/>
        </w:rPr>
        <w:t xml:space="preserve">Health policies and actions for health promotion and disease prevention are knowledge-based, people-centred, personalised and thus targeted and tailored to citizens’ needs, and designed to reduce health inequalities. </w:t>
      </w:r>
    </w:p>
    <w:p w14:paraId="70AF9045" w14:textId="77777777" w:rsidR="00056AEE" w:rsidRDefault="00A00CB7">
      <w:r>
        <w:t>Proposals are invited against the following topic(s):</w:t>
      </w:r>
    </w:p>
    <w:p w14:paraId="1A3E98BC" w14:textId="77777777" w:rsidR="00056AEE" w:rsidRDefault="00A00CB7">
      <w:pPr>
        <w:pStyle w:val="HeadingThree"/>
      </w:pPr>
      <w:bookmarkStart w:id="10" w:name="_Toc171689857"/>
      <w:r>
        <w:t>HORIZON-HLTH-2025-01-STAYHLTH-01: Improving the quality of life of persons with intellectual disabilities and their families</w:t>
      </w:r>
      <w:bookmarkEnd w:id="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3A38F8" w14:paraId="54650A80" w14:textId="77777777" w:rsidTr="003A38F8">
        <w:tc>
          <w:tcPr>
            <w:tcW w:w="0" w:type="auto"/>
            <w:gridSpan w:val="2"/>
          </w:tcPr>
          <w:p w14:paraId="6E762CE6" w14:textId="77777777" w:rsidR="00056AEE" w:rsidRDefault="00A00CB7">
            <w:pPr>
              <w:pStyle w:val="CellTextValue"/>
            </w:pPr>
            <w:r>
              <w:rPr>
                <w:b/>
              </w:rPr>
              <w:t>Call: Cluster 1 - Health (Single stage - 2025)</w:t>
            </w:r>
          </w:p>
        </w:tc>
      </w:tr>
      <w:tr w:rsidR="003A38F8" w14:paraId="095F12EE" w14:textId="77777777" w:rsidTr="003A38F8">
        <w:tc>
          <w:tcPr>
            <w:tcW w:w="0" w:type="auto"/>
            <w:gridSpan w:val="2"/>
          </w:tcPr>
          <w:p w14:paraId="4350BBA6" w14:textId="77777777" w:rsidR="00056AEE" w:rsidRDefault="00A00CB7">
            <w:pPr>
              <w:pStyle w:val="CellTextValue"/>
            </w:pPr>
            <w:r>
              <w:rPr>
                <w:b/>
              </w:rPr>
              <w:t>Specific conditions</w:t>
            </w:r>
          </w:p>
        </w:tc>
      </w:tr>
      <w:tr w:rsidR="00056AEE" w14:paraId="1E89EAF0" w14:textId="77777777">
        <w:tc>
          <w:tcPr>
            <w:tcW w:w="0" w:type="auto"/>
          </w:tcPr>
          <w:p w14:paraId="1F65E624" w14:textId="77777777" w:rsidR="00056AEE" w:rsidRDefault="00A00CB7">
            <w:pPr>
              <w:pStyle w:val="CellTextValue"/>
              <w:jc w:val="left"/>
            </w:pPr>
            <w:r>
              <w:rPr>
                <w:i/>
              </w:rPr>
              <w:t>Expected EU contribution per project</w:t>
            </w:r>
          </w:p>
        </w:tc>
        <w:tc>
          <w:tcPr>
            <w:tcW w:w="0" w:type="auto"/>
          </w:tcPr>
          <w:p w14:paraId="233AB6F7" w14:textId="77777777" w:rsidR="00056AEE" w:rsidRDefault="00A00CB7">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056AEE" w14:paraId="1091A871" w14:textId="77777777">
        <w:tc>
          <w:tcPr>
            <w:tcW w:w="0" w:type="auto"/>
          </w:tcPr>
          <w:p w14:paraId="2C06BE6C" w14:textId="77777777" w:rsidR="00056AEE" w:rsidRDefault="00A00CB7">
            <w:pPr>
              <w:pStyle w:val="CellTextValue"/>
              <w:jc w:val="left"/>
            </w:pPr>
            <w:r>
              <w:rPr>
                <w:i/>
              </w:rPr>
              <w:t>Indicative budget</w:t>
            </w:r>
          </w:p>
        </w:tc>
        <w:tc>
          <w:tcPr>
            <w:tcW w:w="0" w:type="auto"/>
          </w:tcPr>
          <w:p w14:paraId="19C408C8" w14:textId="77777777" w:rsidR="00056AEE" w:rsidRDefault="00A00CB7">
            <w:pPr>
              <w:pStyle w:val="CellTextValue"/>
            </w:pPr>
            <w:r>
              <w:t>The total indicative budget for the topic is EUR 40.00 million.</w:t>
            </w:r>
          </w:p>
        </w:tc>
      </w:tr>
      <w:tr w:rsidR="00056AEE" w14:paraId="128E9738" w14:textId="77777777">
        <w:tc>
          <w:tcPr>
            <w:tcW w:w="0" w:type="auto"/>
          </w:tcPr>
          <w:p w14:paraId="3EF7AAFA" w14:textId="77777777" w:rsidR="00056AEE" w:rsidRDefault="00A00CB7">
            <w:pPr>
              <w:pStyle w:val="CellTextValue"/>
              <w:jc w:val="left"/>
            </w:pPr>
            <w:r>
              <w:rPr>
                <w:i/>
              </w:rPr>
              <w:t>Type of Action</w:t>
            </w:r>
          </w:p>
        </w:tc>
        <w:tc>
          <w:tcPr>
            <w:tcW w:w="0" w:type="auto"/>
          </w:tcPr>
          <w:p w14:paraId="3E670DF0" w14:textId="77777777" w:rsidR="00056AEE" w:rsidRDefault="00A00CB7">
            <w:pPr>
              <w:pStyle w:val="CellTextValue"/>
            </w:pPr>
            <w:r>
              <w:rPr>
                <w:color w:val="000000"/>
              </w:rPr>
              <w:t>Research and Innovation Actions</w:t>
            </w:r>
          </w:p>
        </w:tc>
      </w:tr>
      <w:tr w:rsidR="00056AEE" w14:paraId="1A315978" w14:textId="77777777">
        <w:tc>
          <w:tcPr>
            <w:tcW w:w="0" w:type="auto"/>
          </w:tcPr>
          <w:p w14:paraId="034BE975" w14:textId="77777777" w:rsidR="00056AEE" w:rsidRDefault="00A00CB7">
            <w:pPr>
              <w:pStyle w:val="CellTextValue"/>
              <w:jc w:val="left"/>
            </w:pPr>
            <w:r>
              <w:rPr>
                <w:i/>
              </w:rPr>
              <w:t>Eligibility conditions</w:t>
            </w:r>
          </w:p>
        </w:tc>
        <w:tc>
          <w:tcPr>
            <w:tcW w:w="0" w:type="auto"/>
          </w:tcPr>
          <w:p w14:paraId="1247E421" w14:textId="77777777" w:rsidR="00056AEE" w:rsidRDefault="00A00CB7">
            <w:pPr>
              <w:pStyle w:val="CellTextValue"/>
            </w:pPr>
            <w:r>
              <w:rPr>
                <w:color w:val="000000"/>
              </w:rPr>
              <w:t>The conditions are described in General Annex B. The following exceptions apply:</w:t>
            </w:r>
          </w:p>
          <w:p w14:paraId="6B07896C"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1B2FF75D"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tc>
      </w:tr>
      <w:tr w:rsidR="00056AEE" w14:paraId="693C40A6" w14:textId="77777777">
        <w:tc>
          <w:tcPr>
            <w:tcW w:w="0" w:type="auto"/>
          </w:tcPr>
          <w:p w14:paraId="72420A49" w14:textId="77777777" w:rsidR="00056AEE" w:rsidRDefault="00A00CB7">
            <w:pPr>
              <w:pStyle w:val="CellTextValue"/>
              <w:jc w:val="left"/>
            </w:pPr>
            <w:r>
              <w:rPr>
                <w:i/>
              </w:rPr>
              <w:t>Award criteria</w:t>
            </w:r>
          </w:p>
        </w:tc>
        <w:tc>
          <w:tcPr>
            <w:tcW w:w="0" w:type="auto"/>
          </w:tcPr>
          <w:p w14:paraId="6A918D79" w14:textId="77777777" w:rsidR="00056AEE" w:rsidRDefault="00A00CB7">
            <w:pPr>
              <w:pStyle w:val="CellTextValue"/>
            </w:pPr>
            <w:r>
              <w:rPr>
                <w:color w:val="000000"/>
              </w:rPr>
              <w:t xml:space="preserve">The criteria are described in General Annex D. The following exceptions </w:t>
            </w:r>
            <w:r>
              <w:rPr>
                <w:color w:val="000000"/>
              </w:rPr>
              <w:lastRenderedPageBreak/>
              <w:t>apply:</w:t>
            </w:r>
          </w:p>
          <w:p w14:paraId="6CED5E01" w14:textId="77777777" w:rsidR="00056AEE" w:rsidRDefault="00A00CB7">
            <w:pPr>
              <w:pStyle w:val="CellTextValue"/>
            </w:pPr>
            <w:r>
              <w:rPr>
                <w:color w:val="000000"/>
              </w:rPr>
              <w:t>The thresholds for each criterion will be 4 (Excellence), 4 (Impact) and 4 (Implementation). The cumulative threshold will be 12.</w:t>
            </w:r>
          </w:p>
        </w:tc>
      </w:tr>
    </w:tbl>
    <w:p w14:paraId="47891CE9" w14:textId="77777777" w:rsidR="00056AEE" w:rsidRDefault="00056AEE">
      <w:pPr>
        <w:spacing w:after="0" w:line="150" w:lineRule="auto"/>
      </w:pPr>
    </w:p>
    <w:p w14:paraId="7226F31A"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“Staying healthy in a rapidly changing society”. To that end, proposals under this topic should aim to deliver results that are directed at, tailored towards and contributing to several of the following expected outcomes:</w:t>
      </w:r>
    </w:p>
    <w:p w14:paraId="5B493231" w14:textId="77777777" w:rsidR="00056AEE" w:rsidRDefault="00A00CB7" w:rsidP="003A38F8">
      <w:pPr>
        <w:pStyle w:val="Paragraphedeliste"/>
        <w:numPr>
          <w:ilvl w:val="0"/>
          <w:numId w:val="7"/>
        </w:numPr>
      </w:pPr>
      <w:r>
        <w:rPr>
          <w:color w:val="000000"/>
        </w:rPr>
        <w:t>Persons with intellectual disabilities and their families enjoy an improved quality of life, are empowered and have an increased independence through the support of innovative research.</w:t>
      </w:r>
    </w:p>
    <w:p w14:paraId="2217647C" w14:textId="77777777" w:rsidR="00056AEE" w:rsidRDefault="00A00CB7" w:rsidP="003A38F8">
      <w:pPr>
        <w:pStyle w:val="Paragraphedeliste"/>
        <w:numPr>
          <w:ilvl w:val="0"/>
          <w:numId w:val="7"/>
        </w:numPr>
      </w:pPr>
      <w:r>
        <w:rPr>
          <w:color w:val="000000"/>
        </w:rPr>
        <w:t xml:space="preserve">The scientific community develops innovative solutions - medical, technological, digital or others - to reverse and/or reduce the severity level of the intellectual disability as soon as possible, especially in children, improving the autonomy of persons with intellectual disabilities and relieving their </w:t>
      </w:r>
      <w:proofErr w:type="spellStart"/>
      <w:r>
        <w:rPr>
          <w:color w:val="000000"/>
        </w:rPr>
        <w:t>carers</w:t>
      </w:r>
      <w:proofErr w:type="spellEnd"/>
      <w:r>
        <w:rPr>
          <w:color w:val="000000"/>
        </w:rPr>
        <w:t>.</w:t>
      </w:r>
    </w:p>
    <w:p w14:paraId="7676A4FD" w14:textId="77777777" w:rsidR="00056AEE" w:rsidRDefault="00A00CB7" w:rsidP="003A38F8">
      <w:pPr>
        <w:pStyle w:val="Paragraphedeliste"/>
        <w:numPr>
          <w:ilvl w:val="0"/>
          <w:numId w:val="7"/>
        </w:numPr>
      </w:pPr>
      <w:r>
        <w:rPr>
          <w:color w:val="000000"/>
        </w:rPr>
        <w:t xml:space="preserve">Policymakers, patient organisations, funders, the scientific community, and other relevant bodies are informed of the research advances and best practices addressing the needs of persons with intellectual disabilities and help reduce the impact of those disabilities on individuals, their families and </w:t>
      </w:r>
      <w:proofErr w:type="gramStart"/>
      <w:r>
        <w:rPr>
          <w:color w:val="000000"/>
        </w:rPr>
        <w:t>society as a whole</w:t>
      </w:r>
      <w:proofErr w:type="gramEnd"/>
      <w:r>
        <w:rPr>
          <w:color w:val="000000"/>
        </w:rPr>
        <w:t xml:space="preserve">. </w:t>
      </w:r>
    </w:p>
    <w:p w14:paraId="40A463BD" w14:textId="77777777" w:rsidR="00056AEE" w:rsidRDefault="00A00CB7">
      <w:r>
        <w:rPr>
          <w:u w:val="single"/>
        </w:rPr>
        <w:t>Scope</w:t>
      </w:r>
      <w:r>
        <w:t xml:space="preserve">: </w:t>
      </w:r>
      <w:r>
        <w:rPr>
          <w:color w:val="000000"/>
        </w:rPr>
        <w:t>The scope of this topic is set by the definitions provided by ‘</w:t>
      </w:r>
      <w:r>
        <w:rPr>
          <w:i/>
          <w:color w:val="000000"/>
        </w:rPr>
        <w:t xml:space="preserve">The international classification of diseases’ </w:t>
      </w:r>
      <w:r>
        <w:rPr>
          <w:color w:val="000000"/>
        </w:rPr>
        <w:t>- World Health Organization (WHO) ICD11 under ‘</w:t>
      </w:r>
      <w:r>
        <w:rPr>
          <w:i/>
          <w:color w:val="000000"/>
        </w:rPr>
        <w:t>6A00: Disorders of intellectual development’</w:t>
      </w:r>
      <w:r>
        <w:rPr>
          <w:vertAlign w:val="superscript"/>
        </w:rPr>
        <w:footnoteReference w:id="30"/>
      </w:r>
      <w:r>
        <w:rPr>
          <w:b/>
          <w:i/>
          <w:color w:val="000000"/>
          <w:vertAlign w:val="superscript"/>
        </w:rPr>
        <w:t xml:space="preserve"> </w:t>
      </w:r>
      <w:r>
        <w:rPr>
          <w:color w:val="000000"/>
        </w:rPr>
        <w:t xml:space="preserve">and under </w:t>
      </w:r>
      <w:r>
        <w:rPr>
          <w:i/>
          <w:color w:val="000000"/>
        </w:rPr>
        <w:t xml:space="preserve">‘20: Developmental anomalies’ </w:t>
      </w:r>
      <w:r>
        <w:rPr>
          <w:vertAlign w:val="superscript"/>
        </w:rPr>
        <w:footnoteReference w:id="31"/>
      </w:r>
      <w:r>
        <w:rPr>
          <w:b/>
          <w:i/>
          <w:color w:val="000000"/>
          <w:vertAlign w:val="superscript"/>
        </w:rPr>
        <w:t xml:space="preserve"> </w:t>
      </w:r>
      <w:r>
        <w:rPr>
          <w:color w:val="000000"/>
        </w:rPr>
        <w:t xml:space="preserve">including disorders of intellectual development, such as </w:t>
      </w:r>
      <w:r>
        <w:rPr>
          <w:i/>
          <w:color w:val="000000"/>
        </w:rPr>
        <w:t xml:space="preserve">‘LD40: Complete </w:t>
      </w:r>
      <w:proofErr w:type="spellStart"/>
      <w:r>
        <w:rPr>
          <w:i/>
          <w:color w:val="000000"/>
        </w:rPr>
        <w:t>trisomies</w:t>
      </w:r>
      <w:proofErr w:type="spellEnd"/>
      <w:r>
        <w:rPr>
          <w:i/>
          <w:color w:val="000000"/>
        </w:rPr>
        <w:t xml:space="preserve"> of the autosomes’</w:t>
      </w:r>
      <w:r>
        <w:rPr>
          <w:vertAlign w:val="superscript"/>
        </w:rPr>
        <w:footnoteReference w:id="32"/>
      </w:r>
      <w:r>
        <w:rPr>
          <w:b/>
          <w:i/>
          <w:color w:val="000000"/>
          <w:vertAlign w:val="superscript"/>
        </w:rPr>
        <w:t xml:space="preserve"> </w:t>
      </w:r>
      <w:r>
        <w:rPr>
          <w:color w:val="000000"/>
        </w:rPr>
        <w:t xml:space="preserve">and </w:t>
      </w:r>
      <w:r>
        <w:rPr>
          <w:i/>
          <w:color w:val="000000"/>
        </w:rPr>
        <w:t>‘LD90: Conditions with disorders of intellectual development as a relevant clinical feature’</w:t>
      </w:r>
      <w:r>
        <w:rPr>
          <w:vertAlign w:val="superscript"/>
        </w:rPr>
        <w:footnoteReference w:id="33"/>
      </w:r>
      <w:r>
        <w:rPr>
          <w:color w:val="000000"/>
        </w:rPr>
        <w:t xml:space="preserve">. Moreover, the three types of autism with disorders of intellectual development (6A02.1, 6A02.3 and 6A02.5) under </w:t>
      </w:r>
      <w:r>
        <w:rPr>
          <w:i/>
          <w:color w:val="000000"/>
        </w:rPr>
        <w:t xml:space="preserve">‘6A02: Autism spectrum disorder’ </w:t>
      </w:r>
      <w:r>
        <w:rPr>
          <w:vertAlign w:val="superscript"/>
        </w:rPr>
        <w:footnoteReference w:id="34"/>
      </w:r>
      <w:r>
        <w:rPr>
          <w:color w:val="000000"/>
        </w:rPr>
        <w:t xml:space="preserve"> are also within the scope of this topic.</w:t>
      </w:r>
    </w:p>
    <w:p w14:paraId="7D931DCD" w14:textId="77777777" w:rsidR="00056AEE" w:rsidRDefault="00A00CB7">
      <w:r>
        <w:rPr>
          <w:color w:val="000000"/>
        </w:rPr>
        <w:t xml:space="preserve">The focus of this topic is </w:t>
      </w:r>
      <w:proofErr w:type="gramStart"/>
      <w:r>
        <w:rPr>
          <w:color w:val="000000"/>
        </w:rPr>
        <w:t>human-centred</w:t>
      </w:r>
      <w:proofErr w:type="gramEnd"/>
      <w:r>
        <w:rPr>
          <w:color w:val="000000"/>
        </w:rPr>
        <w:t xml:space="preserve"> on the persons with long-term intellectual disabilities</w:t>
      </w:r>
      <w:r>
        <w:rPr>
          <w:vertAlign w:val="superscript"/>
        </w:rPr>
        <w:footnoteReference w:id="35"/>
      </w:r>
      <w:r>
        <w:rPr>
          <w:color w:val="000000"/>
        </w:rPr>
        <w:t xml:space="preserve"> and their families acting as informal carers. Between 1% and 3% of persons in </w:t>
      </w:r>
      <w:r>
        <w:rPr>
          <w:color w:val="000000"/>
        </w:rPr>
        <w:lastRenderedPageBreak/>
        <w:t>the general population are estimated to have some degree of intellectual disability</w:t>
      </w:r>
      <w:r>
        <w:rPr>
          <w:vertAlign w:val="superscript"/>
        </w:rPr>
        <w:footnoteReference w:id="36"/>
      </w:r>
      <w:r>
        <w:rPr>
          <w:color w:val="000000"/>
        </w:rPr>
        <w:t xml:space="preserve">. The role of informal/unpaid carers, especially family members, is of key importance for persons with intellectual disabilities, with women disproportionately shouldering </w:t>
      </w:r>
      <w:proofErr w:type="gramStart"/>
      <w:r>
        <w:rPr>
          <w:color w:val="000000"/>
        </w:rPr>
        <w:t>the majority of</w:t>
      </w:r>
      <w:proofErr w:type="gramEnd"/>
      <w:r>
        <w:rPr>
          <w:color w:val="000000"/>
        </w:rPr>
        <w:t xml:space="preserve"> this responsibility and undertaking the most demanding and intensive form of caregiving tasks. The life expectancy of persons with intellectual disabilities has increased in the last 20 years, which makes it even more important to analyse the role of their families acting as informal carers (e.g. ageing parents).</w:t>
      </w:r>
    </w:p>
    <w:p w14:paraId="0FEB4101" w14:textId="77777777" w:rsidR="00056AEE" w:rsidRDefault="00A00CB7">
      <w:r>
        <w:rPr>
          <w:color w:val="000000"/>
        </w:rPr>
        <w:t>For many persons with intellectual disabilities, the lack of care services and insufficient support for families and personal assistance undermines their quality of life, their rights and the possibility to live as independently as possible.</w:t>
      </w:r>
    </w:p>
    <w:p w14:paraId="4F297CD5" w14:textId="77777777" w:rsidR="00056AEE" w:rsidRDefault="00A00CB7">
      <w:r>
        <w:rPr>
          <w:color w:val="000000"/>
        </w:rPr>
        <w:t>The objective of this topic is to explore new ways to improve the quality of life of persons with intellectual disabilities and their families and to reduce to the maximum possible the negative impact of the disability in their daily lives from different perspectives, such as medical, technological, digital or others. A key element to improve their quality of life is to prevent the worsening of the disability or conditions originating it. Thus, research needs to look from different perspectives into finding the causes of the disease(s) originating the disability and/or reducing as much as possible its level of severity.</w:t>
      </w:r>
    </w:p>
    <w:p w14:paraId="05A6DD6F" w14:textId="77777777" w:rsidR="00056AEE" w:rsidRDefault="00A00CB7">
      <w:r>
        <w:rPr>
          <w:color w:val="000000"/>
        </w:rPr>
        <w:t xml:space="preserve">Innovative solutions are needed </w:t>
      </w:r>
      <w:proofErr w:type="gramStart"/>
      <w:r>
        <w:rPr>
          <w:color w:val="000000"/>
        </w:rPr>
        <w:t>in order to</w:t>
      </w:r>
      <w:proofErr w:type="gramEnd"/>
      <w:r>
        <w:rPr>
          <w:color w:val="000000"/>
        </w:rPr>
        <w:t xml:space="preserve"> deliver medicines, diagnoses, treatments, protocols, technologies or digital solutions, etc. that can help in an early stage to prevent the worsening of the disability, reverse it or reduce it, especially in the case of children, and to improve their autonomy and relieve their </w:t>
      </w:r>
      <w:proofErr w:type="spellStart"/>
      <w:r>
        <w:rPr>
          <w:color w:val="000000"/>
        </w:rPr>
        <w:t>carers</w:t>
      </w:r>
      <w:proofErr w:type="spellEnd"/>
      <w:r>
        <w:rPr>
          <w:color w:val="000000"/>
        </w:rPr>
        <w:t>.</w:t>
      </w:r>
    </w:p>
    <w:p w14:paraId="6D89ADEF" w14:textId="77777777" w:rsidR="00056AEE" w:rsidRDefault="00A00CB7">
      <w:r>
        <w:rPr>
          <w:color w:val="000000"/>
        </w:rPr>
        <w:t>Research actions under this topic should address several of the following areas:</w:t>
      </w:r>
    </w:p>
    <w:p w14:paraId="55E29605" w14:textId="77777777" w:rsidR="00056AEE" w:rsidRDefault="00A00CB7" w:rsidP="003A38F8">
      <w:pPr>
        <w:pStyle w:val="Paragraphedeliste"/>
        <w:numPr>
          <w:ilvl w:val="0"/>
          <w:numId w:val="8"/>
        </w:numPr>
      </w:pPr>
      <w:r>
        <w:rPr>
          <w:color w:val="000000"/>
        </w:rPr>
        <w:t>To properly diagnose as early as possible the disease(s) causing the intellectual disability or conditions worsening them, especially in the case of children, and paying particular attention to sex and gender-specific differences and diagnostic biases.</w:t>
      </w:r>
    </w:p>
    <w:p w14:paraId="70A222BE" w14:textId="77777777" w:rsidR="00056AEE" w:rsidRDefault="00A00CB7" w:rsidP="003A38F8">
      <w:pPr>
        <w:pStyle w:val="Paragraphedeliste"/>
        <w:numPr>
          <w:ilvl w:val="0"/>
          <w:numId w:val="8"/>
        </w:numPr>
      </w:pPr>
      <w:r>
        <w:rPr>
          <w:color w:val="000000"/>
        </w:rPr>
        <w:t xml:space="preserve">Deliver all the necessary medical treatments, diagnoses, protocols, technologies, digital solutions, </w:t>
      </w:r>
      <w:proofErr w:type="spellStart"/>
      <w:r>
        <w:rPr>
          <w:color w:val="000000"/>
        </w:rPr>
        <w:t>habilitation</w:t>
      </w:r>
      <w:proofErr w:type="spellEnd"/>
      <w:r>
        <w:rPr>
          <w:color w:val="000000"/>
        </w:rPr>
        <w:t xml:space="preserve"> and rehabilitation services, etc. that can help preventing the worsening of the intellectual disability, reversing it or reducing its severity, while at the same time supporting the empowerment of the person with intellectual disabilities.</w:t>
      </w:r>
    </w:p>
    <w:p w14:paraId="171BC691" w14:textId="77777777" w:rsidR="00056AEE" w:rsidRDefault="00A00CB7" w:rsidP="003A38F8">
      <w:pPr>
        <w:pStyle w:val="Paragraphedeliste"/>
        <w:numPr>
          <w:ilvl w:val="0"/>
          <w:numId w:val="8"/>
        </w:numPr>
      </w:pPr>
      <w:r>
        <w:rPr>
          <w:color w:val="000000"/>
        </w:rPr>
        <w:t>Tackle the other comorbidities or other disabilities that persons with intellectual disabilities may suffer from, with awareness of gender differences.</w:t>
      </w:r>
    </w:p>
    <w:p w14:paraId="1F9D5FC0" w14:textId="77777777" w:rsidR="00056AEE" w:rsidRDefault="00A00CB7" w:rsidP="003A38F8">
      <w:pPr>
        <w:pStyle w:val="Paragraphedeliste"/>
        <w:numPr>
          <w:ilvl w:val="0"/>
          <w:numId w:val="8"/>
        </w:numPr>
      </w:pPr>
      <w:r>
        <w:rPr>
          <w:color w:val="000000"/>
        </w:rPr>
        <w:t>Provide evidence-based approaches for transitional care for young adults with intellectual disabilities, addressing also gender-specific challenges and needs. The transition from paediatric to adult care is perceived as complex and difficult to navigate for adolescents with intellectual disabilities, their families and carers.</w:t>
      </w:r>
    </w:p>
    <w:p w14:paraId="736F0FA1" w14:textId="77777777" w:rsidR="00056AEE" w:rsidRDefault="00A00CB7" w:rsidP="003A38F8">
      <w:pPr>
        <w:pStyle w:val="Paragraphedeliste"/>
        <w:numPr>
          <w:ilvl w:val="0"/>
          <w:numId w:val="8"/>
        </w:numPr>
      </w:pPr>
      <w:r>
        <w:rPr>
          <w:color w:val="000000"/>
        </w:rPr>
        <w:lastRenderedPageBreak/>
        <w:t>Promote the empowerment among persons with intellectual disabilities and their caregivers. If applicable, with the support of assistive technologies and digital solutions, ensure optimal autonomy of persons with intellectual disabilities, facilitate and improve the treatment of persons with intellectual disabilities, and help also the family members and close carers to take better care of the person with intellectual disabilities.</w:t>
      </w:r>
    </w:p>
    <w:p w14:paraId="06B78D40" w14:textId="77777777" w:rsidR="00056AEE" w:rsidRDefault="00A00CB7" w:rsidP="003A38F8">
      <w:pPr>
        <w:pStyle w:val="Paragraphedeliste"/>
        <w:numPr>
          <w:ilvl w:val="0"/>
          <w:numId w:val="8"/>
        </w:numPr>
      </w:pPr>
      <w:r>
        <w:rPr>
          <w:color w:val="000000"/>
        </w:rPr>
        <w:t>Propose innovative solutions for high quality, accessible - including cognitively accessible - and affordable care services, to allow carers of persons with intellectual disabilities, particularly women, to better balance their work and family lives. The role of informal/unpaid carers, especially family members, is of key importance for persons with intellectual disabilities. For many persons with intellectual disabilities, the lack of care services and insufficient support for families and personal assistance undermines their quality of life and their rights and possibility to live as independently as possible.</w:t>
      </w:r>
    </w:p>
    <w:p w14:paraId="4AB28A2B" w14:textId="77777777" w:rsidR="00056AEE" w:rsidRDefault="00A00CB7" w:rsidP="003A38F8">
      <w:pPr>
        <w:pStyle w:val="Paragraphedeliste"/>
        <w:numPr>
          <w:ilvl w:val="0"/>
          <w:numId w:val="8"/>
        </w:numPr>
      </w:pPr>
      <w:r>
        <w:rPr>
          <w:color w:val="000000"/>
        </w:rPr>
        <w:t>Develop innovative integrated care strategies - strengthening patient-centred care - to improve the Quality of Life of persons with intellectual disabilities of any age, and their families. Especially for persons with intellectual disabilities with the highest vulnerability because of their high dependency on carers (formal and/or informal), multiple disabilities and need of adapted and special care (medical, social, educational dimensions).</w:t>
      </w:r>
    </w:p>
    <w:p w14:paraId="3E6B7D1F" w14:textId="77777777" w:rsidR="00056AEE" w:rsidRDefault="00A00CB7" w:rsidP="003A38F8">
      <w:pPr>
        <w:pStyle w:val="Paragraphedeliste"/>
        <w:numPr>
          <w:ilvl w:val="0"/>
          <w:numId w:val="8"/>
        </w:numPr>
      </w:pPr>
      <w:r>
        <w:rPr>
          <w:color w:val="000000"/>
        </w:rPr>
        <w:t xml:space="preserve">Develop guidelines </w:t>
      </w:r>
      <w:proofErr w:type="gramStart"/>
      <w:r>
        <w:rPr>
          <w:color w:val="000000"/>
        </w:rPr>
        <w:t>in order to</w:t>
      </w:r>
      <w:proofErr w:type="gramEnd"/>
      <w:r>
        <w:rPr>
          <w:color w:val="000000"/>
        </w:rPr>
        <w:t xml:space="preserve"> provide adequate support and training for caregivers, formal and informal, especially for those providing care for persons with intellectual disabilities and/or living with them, and also addressing the issue of violence since persons with intellectual disabilities are both vulnerable to violence and abuse and can be violent towards care givers and family members.</w:t>
      </w:r>
    </w:p>
    <w:p w14:paraId="3CABDE83" w14:textId="77777777" w:rsidR="00056AEE" w:rsidRDefault="00A00CB7" w:rsidP="003A38F8">
      <w:pPr>
        <w:pStyle w:val="Paragraphedeliste"/>
        <w:numPr>
          <w:ilvl w:val="0"/>
          <w:numId w:val="8"/>
        </w:numPr>
      </w:pPr>
      <w:r>
        <w:rPr>
          <w:color w:val="000000"/>
        </w:rPr>
        <w:t xml:space="preserve">Target health inequalities on access to appropriate health and care services for persons with intellectual disabilities, </w:t>
      </w:r>
      <w:proofErr w:type="gramStart"/>
      <w:r>
        <w:rPr>
          <w:color w:val="000000"/>
        </w:rPr>
        <w:t>taking into account</w:t>
      </w:r>
      <w:proofErr w:type="gramEnd"/>
      <w:r>
        <w:rPr>
          <w:color w:val="000000"/>
        </w:rPr>
        <w:t xml:space="preserve"> the social, cognitive and communicative challenges, gender-specific needs and barriers, economic and cultural diversity in the EU and Associated Countries, as well as the situation in remote and rural areas and the importance of proximity care. </w:t>
      </w:r>
    </w:p>
    <w:p w14:paraId="28840FAC" w14:textId="77777777" w:rsidR="00056AEE" w:rsidRDefault="00A00CB7">
      <w:r>
        <w:rPr>
          <w:color w:val="000000"/>
        </w:rPr>
        <w:t xml:space="preserve">The involvement of patients, their families and carers </w:t>
      </w:r>
      <w:proofErr w:type="gramStart"/>
      <w:r>
        <w:rPr>
          <w:color w:val="000000"/>
        </w:rPr>
        <w:t>is</w:t>
      </w:r>
      <w:proofErr w:type="gramEnd"/>
      <w:r>
        <w:rPr>
          <w:color w:val="000000"/>
        </w:rPr>
        <w:t xml:space="preserve"> central to achieving the targeted outcomes, acceptability and deployment. Thus, applicants are encouraged to include patients, their families and carers in the different stages of the research. Likewise, it is encouraged to involve stakeholders from within and outside the intellectual disabilities sector, in particular policymakers and public authorities, citizens and civil society organisations, end-users and service providers.</w:t>
      </w:r>
    </w:p>
    <w:p w14:paraId="6D5A0948" w14:textId="77777777" w:rsidR="00056AEE" w:rsidRDefault="00A00CB7">
      <w:r>
        <w:rPr>
          <w:color w:val="000000"/>
        </w:rPr>
        <w:t xml:space="preserve">This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3222FA28" w14:textId="77777777" w:rsidR="00056AEE" w:rsidRDefault="00A00CB7">
      <w:r>
        <w:rPr>
          <w:color w:val="000000"/>
        </w:rPr>
        <w:lastRenderedPageBreak/>
        <w:t>All projects funded under this topic are encouraged to participate in networking and joint activities, including internationally, as appropriate. These networking and joint activities could, for example, involve the participation in joint workshops, the exchange of knowledge, the development and adoption of best practices, or joint communication activities. This could also involve networking and joint activities with projects funded under other Clusters and pillars of Horizon Europe, or other EU programmes, as appropriate. Therefore, proposals are expected to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p w14:paraId="02E392B2" w14:textId="77777777" w:rsidR="00056AEE" w:rsidRDefault="00A00CB7">
      <w:r>
        <w:rPr>
          <w:color w:val="000000"/>
        </w:rPr>
        <w:t>Synergies with the projects funded under the Cluster 2 topic HORIZON-CL2-2025-01-TRANSFO-10: “Good practices for increased autonomy of persons with disabilities, including physical, mental, intellectual and sensory disabilities” are encouraged.</w:t>
      </w:r>
    </w:p>
    <w:p w14:paraId="6F7F790C"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0853BF05" w14:textId="77777777" w:rsidR="00056AEE" w:rsidRPr="006372DB" w:rsidRDefault="00A00CB7">
      <w:pPr>
        <w:pStyle w:val="HeadingTwo"/>
        <w:rPr>
          <w:lang w:val="en-US"/>
        </w:rPr>
      </w:pPr>
      <w:bookmarkStart w:id="11" w:name="_Toc171689858"/>
      <w:r w:rsidRPr="006372DB">
        <w:rPr>
          <w:lang w:val="en-US"/>
        </w:rPr>
        <w:t>Destination - Living and working in a health-promoting environment</w:t>
      </w:r>
      <w:bookmarkEnd w:id="11"/>
    </w:p>
    <w:p w14:paraId="0FD3DE63" w14:textId="77777777" w:rsidR="00056AEE" w:rsidRDefault="00A00CB7">
      <w:r>
        <w:rPr>
          <w:color w:val="000000"/>
        </w:rPr>
        <w:t>Calls for proposals under this destination are directed towards the Key Strategic Orientation 1 “</w:t>
      </w:r>
      <w:r>
        <w:rPr>
          <w:i/>
          <w:color w:val="000000"/>
        </w:rPr>
        <w:t>The Green transition</w:t>
      </w:r>
      <w:r>
        <w:rPr>
          <w:color w:val="000000"/>
        </w:rPr>
        <w:t>” and Key Strategic Orientation 3 “</w:t>
      </w:r>
      <w:r>
        <w:rPr>
          <w:i/>
          <w:color w:val="000000"/>
        </w:rPr>
        <w:t>A more resilient, competitive, inclusive, and democratic Europe</w:t>
      </w:r>
      <w:r>
        <w:rPr>
          <w:color w:val="000000"/>
        </w:rPr>
        <w:t>” of Horizon Europe’s Strategic Plan 2025-2027.</w:t>
      </w:r>
    </w:p>
    <w:p w14:paraId="4E073EF3" w14:textId="77777777" w:rsidR="00056AEE" w:rsidRDefault="00A00CB7">
      <w:r>
        <w:rPr>
          <w:color w:val="000000"/>
        </w:rPr>
        <w:t>Research and innovation supported under this destination should contribute to the following expected impact, set out in the Strategic Plan for the Health Cluster: “</w:t>
      </w:r>
      <w:r>
        <w:rPr>
          <w:i/>
          <w:color w:val="000000"/>
        </w:rPr>
        <w:t>Cluster 1 will continue to improve the understanding of the impacts of climate change and environmental stressors on people’s health and well-being and support the development of tools and measures to protect people from these impacts and to combat global health challenges. Cluster 1 will help make the health sector more just, environmentally friendly and capable of dealing with climate-related issues, while reducing its carbon and pollution emissions</w:t>
      </w:r>
      <w:r>
        <w:rPr>
          <w:color w:val="000000"/>
        </w:rPr>
        <w:t>.”</w:t>
      </w:r>
    </w:p>
    <w:p w14:paraId="0706D8F5" w14:textId="77777777" w:rsidR="00056AEE" w:rsidRDefault="00A00CB7">
      <w:r>
        <w:rPr>
          <w:color w:val="000000"/>
        </w:rPr>
        <w:t>The environment we live and work in is a major determinant of our health and wellbeing. The World Health Organization estimates that approximately 12.6 million deaths each year (24% of global deaths) are attributable to environmental risk factors and these factors are estimated to account for almost 20% of all deaths in Europe. Pollution in particular leads to more than 10% of annual premature deaths around the world. Environment-related disease burden also has significant economic effects. The environmental factors impacting on both physical and mental health and wellbeing are not well identified nor their effects comprehensively understood and accounted for to support evidence-based policy- and decision-making. Therefore, this destination aims at filling knowledge gaps in the understanding of the impacts on our health and wellbeing of those environmental, occupational and socio-economic risk factors that have the most significant or widespread societal impacts.</w:t>
      </w:r>
    </w:p>
    <w:p w14:paraId="2CBDD8F7" w14:textId="77777777" w:rsidR="00056AEE" w:rsidRDefault="00A00CB7">
      <w:r>
        <w:rPr>
          <w:color w:val="000000"/>
        </w:rPr>
        <w:lastRenderedPageBreak/>
        <w:t>In this work programme, Destination "</w:t>
      </w:r>
      <w:r>
        <w:rPr>
          <w:i/>
          <w:color w:val="000000"/>
        </w:rPr>
        <w:t>Living and working in a health-promoting environment</w:t>
      </w:r>
      <w:r>
        <w:rPr>
          <w:color w:val="000000"/>
        </w:rPr>
        <w:t>" focuses on the health impacts of exposures to pollution and environmental degradation in living and working environments. The results will support the EU’s environment and health policies and overarching policy frameworks such as the European Green Deal, the Chemical Strategy for Sustainability, the Zero Pollution Action Plan, the 8th Environment Action Programme, the EU Strategic Framework on Health and Safety at Work as well as the WHO European Environment and Health Process (EHP). Strong collaborations across sectors and with other Horizon Europe Clusters dealing with issues such as agriculture, food, environment, climate, biodiversity, mobility, security, urban planning, social inclusion and gender will be needed to ensure that maximal societal benefits are reached. In view of increasing the impact of EU investments under Horizon Europe, the European Commission welcomes and supports cooperation between EU-funded projects to enable cross-fertilisation and other synergies. This could range from networking to joint activities such as the participation in joint workshops, the exchange of knowledge, development and adoption of best practices, or joint communication activities. All topics are open to international collaboration to address global environment and health challenges.</w:t>
      </w:r>
    </w:p>
    <w:p w14:paraId="0A394AC9" w14:textId="77777777" w:rsidR="00056AEE" w:rsidRDefault="00A00CB7">
      <w:r>
        <w:rPr>
          <w:color w:val="000000"/>
          <w:u w:val="single"/>
        </w:rPr>
        <w:t>Expected impacts</w:t>
      </w:r>
      <w:r>
        <w:rPr>
          <w:color w:val="000000"/>
        </w:rPr>
        <w:t>:</w:t>
      </w:r>
    </w:p>
    <w:p w14:paraId="52F6A655" w14:textId="77777777" w:rsidR="00056AEE" w:rsidRDefault="00A00CB7">
      <w:r>
        <w:rPr>
          <w:color w:val="000000"/>
        </w:rPr>
        <w:t>Proposals for topics under this destination should set out a credible pathway to contributing to living and working in a health-promoting environment, and more specifically to one or several of the following impacts:</w:t>
      </w:r>
    </w:p>
    <w:p w14:paraId="5B57F640" w14:textId="77777777" w:rsidR="00056AEE" w:rsidRDefault="00A00CB7" w:rsidP="003A38F8">
      <w:pPr>
        <w:pStyle w:val="Paragraphedeliste"/>
        <w:numPr>
          <w:ilvl w:val="0"/>
          <w:numId w:val="9"/>
        </w:numPr>
      </w:pPr>
      <w:proofErr w:type="gramStart"/>
      <w:r>
        <w:rPr>
          <w:color w:val="000000"/>
        </w:rPr>
        <w:t>Policy-makers</w:t>
      </w:r>
      <w:proofErr w:type="gramEnd"/>
      <w:r>
        <w:rPr>
          <w:color w:val="000000"/>
        </w:rPr>
        <w:t xml:space="preserve"> and regulators are aware and well informed about environmental, socio-economic and occupational risk factors as well as health-promoting factors across society;</w:t>
      </w:r>
    </w:p>
    <w:p w14:paraId="588EDA41" w14:textId="77777777" w:rsidR="00056AEE" w:rsidRDefault="00A00CB7" w:rsidP="003A38F8">
      <w:pPr>
        <w:pStyle w:val="Paragraphedeliste"/>
        <w:numPr>
          <w:ilvl w:val="0"/>
          <w:numId w:val="9"/>
        </w:numPr>
      </w:pPr>
      <w:r>
        <w:rPr>
          <w:color w:val="000000"/>
        </w:rPr>
        <w:t>Environmental, occupational, social, economic, and health policies and practices at the EU, national and regional level are sustainable and based on solid scientific evidence.</w:t>
      </w:r>
    </w:p>
    <w:p w14:paraId="7B57C3C1" w14:textId="77777777" w:rsidR="00056AEE" w:rsidRDefault="00A00CB7" w:rsidP="003A38F8">
      <w:pPr>
        <w:pStyle w:val="Paragraphedeliste"/>
        <w:numPr>
          <w:ilvl w:val="0"/>
          <w:numId w:val="9"/>
        </w:numPr>
      </w:pPr>
      <w:r>
        <w:rPr>
          <w:color w:val="000000"/>
        </w:rPr>
        <w:t xml:space="preserve">The upstream determinants of health are known, understood and </w:t>
      </w:r>
      <w:proofErr w:type="gramStart"/>
      <w:r>
        <w:rPr>
          <w:color w:val="000000"/>
        </w:rPr>
        <w:t>reduced;</w:t>
      </w:r>
      <w:proofErr w:type="gramEnd"/>
    </w:p>
    <w:p w14:paraId="70FDC2A3" w14:textId="77777777" w:rsidR="00056AEE" w:rsidRDefault="00A00CB7" w:rsidP="003A38F8">
      <w:pPr>
        <w:pStyle w:val="Paragraphedeliste"/>
        <w:numPr>
          <w:ilvl w:val="0"/>
          <w:numId w:val="9"/>
        </w:numPr>
      </w:pPr>
      <w:r>
        <w:rPr>
          <w:color w:val="000000"/>
        </w:rPr>
        <w:t xml:space="preserve">The health threats and burden resulting from hazardous chemicals and air, water and soil pollution and contamination are lessened, so that the related number of deaths and illnesses is substantially </w:t>
      </w:r>
      <w:proofErr w:type="gramStart"/>
      <w:r>
        <w:rPr>
          <w:color w:val="000000"/>
        </w:rPr>
        <w:t>reduced;</w:t>
      </w:r>
      <w:proofErr w:type="gramEnd"/>
    </w:p>
    <w:p w14:paraId="5220ED69" w14:textId="77777777" w:rsidR="00056AEE" w:rsidRDefault="00A00CB7" w:rsidP="003A38F8">
      <w:pPr>
        <w:pStyle w:val="Paragraphedeliste"/>
        <w:numPr>
          <w:ilvl w:val="0"/>
          <w:numId w:val="9"/>
        </w:numPr>
      </w:pPr>
      <w:r>
        <w:rPr>
          <w:color w:val="000000"/>
        </w:rPr>
        <w:t xml:space="preserve">Living and working environments in European cities and regions are healthier, more inclusive, safer, resilient and </w:t>
      </w:r>
      <w:proofErr w:type="gramStart"/>
      <w:r>
        <w:rPr>
          <w:color w:val="000000"/>
        </w:rPr>
        <w:t>sustainable;</w:t>
      </w:r>
      <w:proofErr w:type="gramEnd"/>
    </w:p>
    <w:p w14:paraId="5440BB45" w14:textId="77777777" w:rsidR="00056AEE" w:rsidRDefault="00A00CB7" w:rsidP="003A38F8">
      <w:pPr>
        <w:pStyle w:val="Paragraphedeliste"/>
        <w:numPr>
          <w:ilvl w:val="0"/>
          <w:numId w:val="9"/>
        </w:numPr>
      </w:pPr>
      <w:r>
        <w:rPr>
          <w:color w:val="000000"/>
        </w:rPr>
        <w:t xml:space="preserve">The adaptive capacity and resilience of populations and health systems in the EU to climate and environmental change-related to mental and physical health risks are </w:t>
      </w:r>
      <w:proofErr w:type="gramStart"/>
      <w:r>
        <w:rPr>
          <w:color w:val="000000"/>
        </w:rPr>
        <w:t>strengthened;</w:t>
      </w:r>
      <w:proofErr w:type="gramEnd"/>
    </w:p>
    <w:p w14:paraId="525D3602" w14:textId="77777777" w:rsidR="00056AEE" w:rsidRDefault="00A00CB7" w:rsidP="003A38F8">
      <w:pPr>
        <w:pStyle w:val="Paragraphedeliste"/>
        <w:numPr>
          <w:ilvl w:val="0"/>
          <w:numId w:val="9"/>
        </w:numPr>
      </w:pPr>
      <w:r>
        <w:rPr>
          <w:color w:val="000000"/>
        </w:rPr>
        <w:t xml:space="preserve">Citizens’ health and wellbeing are protected and promoted, and premature deaths, diseases and inequalities related to environmental pollution and degradation are </w:t>
      </w:r>
      <w:proofErr w:type="gramStart"/>
      <w:r>
        <w:rPr>
          <w:color w:val="000000"/>
        </w:rPr>
        <w:t>prevented;</w:t>
      </w:r>
      <w:proofErr w:type="gramEnd"/>
    </w:p>
    <w:p w14:paraId="5CEDD2CD" w14:textId="77777777" w:rsidR="00056AEE" w:rsidRDefault="00A00CB7" w:rsidP="003A38F8">
      <w:pPr>
        <w:pStyle w:val="Paragraphedeliste"/>
        <w:numPr>
          <w:ilvl w:val="0"/>
          <w:numId w:val="9"/>
        </w:numPr>
      </w:pPr>
      <w:r>
        <w:rPr>
          <w:color w:val="000000"/>
        </w:rPr>
        <w:lastRenderedPageBreak/>
        <w:t xml:space="preserve">Citizens understand better complex environment and health issues, and effective measures to address them and support related policies and regulations. </w:t>
      </w:r>
    </w:p>
    <w:p w14:paraId="2ABCE7C7" w14:textId="77777777" w:rsidR="00056AEE" w:rsidRDefault="00A00CB7">
      <w:r>
        <w:t>Proposals are invited against the following topic(s):</w:t>
      </w:r>
    </w:p>
    <w:p w14:paraId="2C1486F3" w14:textId="77777777" w:rsidR="00056AEE" w:rsidRDefault="00A00CB7">
      <w:pPr>
        <w:pStyle w:val="HeadingThree"/>
      </w:pPr>
      <w:bookmarkStart w:id="12" w:name="_Toc171689859"/>
      <w:r>
        <w:t>HORIZON-HLTH-2025-01-ENVHLTH-01: The impact of pollution on the development and progression of brain diseases and disorders</w:t>
      </w:r>
      <w:bookmarkEnd w:id="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3A38F8" w14:paraId="29491378" w14:textId="77777777" w:rsidTr="003A38F8">
        <w:tc>
          <w:tcPr>
            <w:tcW w:w="0" w:type="auto"/>
            <w:gridSpan w:val="2"/>
          </w:tcPr>
          <w:p w14:paraId="2A89E0F6" w14:textId="77777777" w:rsidR="00056AEE" w:rsidRDefault="00A00CB7">
            <w:pPr>
              <w:pStyle w:val="CellTextValue"/>
            </w:pPr>
            <w:r>
              <w:rPr>
                <w:b/>
              </w:rPr>
              <w:t>Call: Cluster 1 - Health (Single stage - 2025)</w:t>
            </w:r>
          </w:p>
        </w:tc>
      </w:tr>
      <w:tr w:rsidR="003A38F8" w14:paraId="77C9495A" w14:textId="77777777" w:rsidTr="003A38F8">
        <w:tc>
          <w:tcPr>
            <w:tcW w:w="0" w:type="auto"/>
            <w:gridSpan w:val="2"/>
          </w:tcPr>
          <w:p w14:paraId="737CA7C0" w14:textId="77777777" w:rsidR="00056AEE" w:rsidRDefault="00A00CB7">
            <w:pPr>
              <w:pStyle w:val="CellTextValue"/>
            </w:pPr>
            <w:r>
              <w:rPr>
                <w:b/>
              </w:rPr>
              <w:t>Specific conditions</w:t>
            </w:r>
          </w:p>
        </w:tc>
      </w:tr>
      <w:tr w:rsidR="00056AEE" w14:paraId="1D0829BD" w14:textId="77777777">
        <w:tc>
          <w:tcPr>
            <w:tcW w:w="0" w:type="auto"/>
          </w:tcPr>
          <w:p w14:paraId="000FE98D" w14:textId="77777777" w:rsidR="00056AEE" w:rsidRDefault="00A00CB7">
            <w:pPr>
              <w:pStyle w:val="CellTextValue"/>
              <w:jc w:val="left"/>
            </w:pPr>
            <w:r>
              <w:rPr>
                <w:i/>
              </w:rPr>
              <w:t>Expected EU contribution per project</w:t>
            </w:r>
          </w:p>
        </w:tc>
        <w:tc>
          <w:tcPr>
            <w:tcW w:w="0" w:type="auto"/>
          </w:tcPr>
          <w:p w14:paraId="7D7F7067" w14:textId="77777777" w:rsidR="00056AEE" w:rsidRDefault="00A00CB7">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056AEE" w14:paraId="43F178F6" w14:textId="77777777">
        <w:tc>
          <w:tcPr>
            <w:tcW w:w="0" w:type="auto"/>
          </w:tcPr>
          <w:p w14:paraId="5D3604C3" w14:textId="77777777" w:rsidR="00056AEE" w:rsidRDefault="00A00CB7">
            <w:pPr>
              <w:pStyle w:val="CellTextValue"/>
              <w:jc w:val="left"/>
            </w:pPr>
            <w:r>
              <w:rPr>
                <w:i/>
              </w:rPr>
              <w:t>Indicative budget</w:t>
            </w:r>
          </w:p>
        </w:tc>
        <w:tc>
          <w:tcPr>
            <w:tcW w:w="0" w:type="auto"/>
          </w:tcPr>
          <w:p w14:paraId="7C618327" w14:textId="77777777" w:rsidR="00056AEE" w:rsidRDefault="00A00CB7">
            <w:pPr>
              <w:pStyle w:val="CellTextValue"/>
            </w:pPr>
            <w:r>
              <w:t>The total indicative budget for the topic is EUR 45.00 million.</w:t>
            </w:r>
          </w:p>
        </w:tc>
      </w:tr>
      <w:tr w:rsidR="00056AEE" w14:paraId="1CA2244E" w14:textId="77777777">
        <w:tc>
          <w:tcPr>
            <w:tcW w:w="0" w:type="auto"/>
          </w:tcPr>
          <w:p w14:paraId="21BA50B5" w14:textId="77777777" w:rsidR="00056AEE" w:rsidRDefault="00A00CB7">
            <w:pPr>
              <w:pStyle w:val="CellTextValue"/>
              <w:jc w:val="left"/>
            </w:pPr>
            <w:r>
              <w:rPr>
                <w:i/>
              </w:rPr>
              <w:t>Type of Action</w:t>
            </w:r>
          </w:p>
        </w:tc>
        <w:tc>
          <w:tcPr>
            <w:tcW w:w="0" w:type="auto"/>
          </w:tcPr>
          <w:p w14:paraId="03B6F358" w14:textId="77777777" w:rsidR="00056AEE" w:rsidRDefault="00A00CB7">
            <w:pPr>
              <w:pStyle w:val="CellTextValue"/>
            </w:pPr>
            <w:r>
              <w:rPr>
                <w:color w:val="000000"/>
              </w:rPr>
              <w:t>Research and Innovation Actions</w:t>
            </w:r>
          </w:p>
        </w:tc>
      </w:tr>
      <w:tr w:rsidR="00056AEE" w14:paraId="32BA40B7" w14:textId="77777777">
        <w:tc>
          <w:tcPr>
            <w:tcW w:w="0" w:type="auto"/>
          </w:tcPr>
          <w:p w14:paraId="135773B2" w14:textId="77777777" w:rsidR="00056AEE" w:rsidRDefault="00A00CB7">
            <w:pPr>
              <w:pStyle w:val="CellTextValue"/>
              <w:jc w:val="left"/>
            </w:pPr>
            <w:r>
              <w:rPr>
                <w:i/>
              </w:rPr>
              <w:t>Eligibility conditions</w:t>
            </w:r>
          </w:p>
        </w:tc>
        <w:tc>
          <w:tcPr>
            <w:tcW w:w="0" w:type="auto"/>
          </w:tcPr>
          <w:p w14:paraId="1CFE1F5A" w14:textId="77777777" w:rsidR="00056AEE" w:rsidRDefault="00A00CB7">
            <w:pPr>
              <w:pStyle w:val="CellTextValue"/>
            </w:pPr>
            <w:r>
              <w:rPr>
                <w:color w:val="000000"/>
              </w:rPr>
              <w:t>The conditions are described in General Annex B. The following exceptions apply:</w:t>
            </w:r>
          </w:p>
          <w:p w14:paraId="5C056F33"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787D782"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11638A38" w14:textId="77777777" w:rsidR="00056AEE" w:rsidRDefault="00A00CB7">
            <w:pPr>
              <w:pStyle w:val="CellTextValue"/>
            </w:pPr>
            <w:r>
              <w:rPr>
                <w:color w:val="000000"/>
              </w:rPr>
              <w:t>The Joint Research Centre (JRC) may participate as member of the consortium selected for funding.</w:t>
            </w:r>
          </w:p>
        </w:tc>
      </w:tr>
      <w:tr w:rsidR="00056AEE" w14:paraId="2CAE6718" w14:textId="77777777">
        <w:tc>
          <w:tcPr>
            <w:tcW w:w="0" w:type="auto"/>
          </w:tcPr>
          <w:p w14:paraId="2E517310" w14:textId="77777777" w:rsidR="00056AEE" w:rsidRDefault="00A00CB7">
            <w:pPr>
              <w:pStyle w:val="CellTextValue"/>
              <w:jc w:val="left"/>
            </w:pPr>
            <w:r>
              <w:rPr>
                <w:i/>
              </w:rPr>
              <w:t>Award criteria</w:t>
            </w:r>
          </w:p>
        </w:tc>
        <w:tc>
          <w:tcPr>
            <w:tcW w:w="0" w:type="auto"/>
          </w:tcPr>
          <w:p w14:paraId="05B80AB4" w14:textId="77777777" w:rsidR="00056AEE" w:rsidRDefault="00A00CB7">
            <w:pPr>
              <w:pStyle w:val="CellTextValue"/>
            </w:pPr>
            <w:r>
              <w:rPr>
                <w:color w:val="000000"/>
              </w:rPr>
              <w:t>The criteria are described in General Annex D. The following exceptions apply:</w:t>
            </w:r>
          </w:p>
          <w:p w14:paraId="007F3F5C" w14:textId="77777777" w:rsidR="00056AEE" w:rsidRDefault="00A00CB7">
            <w:pPr>
              <w:pStyle w:val="CellTextValue"/>
            </w:pPr>
            <w:r>
              <w:rPr>
                <w:color w:val="000000"/>
              </w:rPr>
              <w:t>The thresholds for each criterion will be 4 (Excellence), 4 (Impact) and 4 (Implementation). The cumulative threshold will be 12.</w:t>
            </w:r>
          </w:p>
        </w:tc>
      </w:tr>
      <w:tr w:rsidR="00056AEE" w14:paraId="40F64B0D" w14:textId="77777777">
        <w:tc>
          <w:tcPr>
            <w:tcW w:w="0" w:type="auto"/>
          </w:tcPr>
          <w:p w14:paraId="39B5BFD0" w14:textId="77777777" w:rsidR="00056AEE" w:rsidRDefault="00A00CB7">
            <w:pPr>
              <w:pStyle w:val="CellTextValue"/>
              <w:jc w:val="left"/>
            </w:pPr>
            <w:r>
              <w:rPr>
                <w:i/>
              </w:rPr>
              <w:t>Legal and financial set-up of the Grant Agreements</w:t>
            </w:r>
          </w:p>
        </w:tc>
        <w:tc>
          <w:tcPr>
            <w:tcW w:w="0" w:type="auto"/>
          </w:tcPr>
          <w:p w14:paraId="0C8C6778" w14:textId="77777777" w:rsidR="00056AEE" w:rsidRDefault="00A00CB7">
            <w:pPr>
              <w:pStyle w:val="CellTextValue"/>
            </w:pPr>
            <w:r>
              <w:rPr>
                <w:color w:val="000000"/>
              </w:rPr>
              <w:t>The rules are described in General Annex G. The following exceptions apply:</w:t>
            </w:r>
          </w:p>
          <w:p w14:paraId="016A1ABF" w14:textId="77777777" w:rsidR="00056AEE" w:rsidRDefault="00A00CB7">
            <w:pPr>
              <w:pStyle w:val="CellTextValue"/>
            </w:pPr>
            <w:proofErr w:type="gramStart"/>
            <w:r>
              <w:rPr>
                <w:color w:val="000000"/>
              </w:rPr>
              <w:t>In order to</w:t>
            </w:r>
            <w:proofErr w:type="gramEnd"/>
            <w:r>
              <w:rPr>
                <w:color w:val="000000"/>
              </w:rPr>
              <w:t xml:space="preserve"> optimise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Depending on the scope of proposals </w:t>
            </w:r>
            <w:r>
              <w:rPr>
                <w:color w:val="000000"/>
              </w:rPr>
              <w:lastRenderedPageBreak/>
              <w:t>selected for funding, these activities may include:</w:t>
            </w:r>
          </w:p>
          <w:p w14:paraId="5E90D50C" w14:textId="77777777" w:rsidR="00056AEE" w:rsidRDefault="00A00CB7" w:rsidP="003A38F8">
            <w:pPr>
              <w:pStyle w:val="Paragraphedeliste"/>
              <w:numPr>
                <w:ilvl w:val="0"/>
                <w:numId w:val="10"/>
              </w:numPr>
              <w:spacing w:after="150"/>
              <w:ind w:right="100"/>
            </w:pPr>
            <w:r>
              <w:rPr>
                <w:color w:val="000000"/>
              </w:rPr>
              <w:t>Attendance of regular joint meetings (e.g., common kick-off meeting and annual meetings).</w:t>
            </w:r>
          </w:p>
          <w:p w14:paraId="754A0805" w14:textId="77777777" w:rsidR="00056AEE" w:rsidRDefault="00A00CB7" w:rsidP="003A38F8">
            <w:pPr>
              <w:pStyle w:val="Paragraphedeliste"/>
              <w:numPr>
                <w:ilvl w:val="0"/>
                <w:numId w:val="10"/>
              </w:numPr>
              <w:spacing w:after="150"/>
              <w:ind w:right="100"/>
            </w:pPr>
            <w:r>
              <w:rPr>
                <w:color w:val="000000"/>
              </w:rPr>
              <w:t>Periodic report of joint activities (delivered at each reporting period).</w:t>
            </w:r>
          </w:p>
          <w:p w14:paraId="3422AB3E" w14:textId="77777777" w:rsidR="00056AEE" w:rsidRDefault="00A00CB7" w:rsidP="003A38F8">
            <w:pPr>
              <w:pStyle w:val="Paragraphedeliste"/>
              <w:numPr>
                <w:ilvl w:val="0"/>
                <w:numId w:val="10"/>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31103414" w14:textId="77777777" w:rsidR="00056AEE" w:rsidRDefault="00A00CB7" w:rsidP="003A38F8">
            <w:pPr>
              <w:pStyle w:val="Paragraphedeliste"/>
              <w:numPr>
                <w:ilvl w:val="0"/>
                <w:numId w:val="10"/>
              </w:numPr>
              <w:spacing w:after="150"/>
              <w:ind w:right="100"/>
            </w:pPr>
            <w:r>
              <w:rPr>
                <w:color w:val="000000"/>
              </w:rPr>
              <w:t>Common Data Management Strategy and Common Policy Strategy (including joint policy briefs).</w:t>
            </w:r>
          </w:p>
          <w:p w14:paraId="55AAB2D7" w14:textId="77777777" w:rsidR="00056AEE" w:rsidRDefault="00A00CB7" w:rsidP="003A38F8">
            <w:pPr>
              <w:pStyle w:val="Paragraphedeliste"/>
              <w:numPr>
                <w:ilvl w:val="0"/>
                <w:numId w:val="10"/>
              </w:numPr>
              <w:spacing w:after="150"/>
              <w:ind w:right="100"/>
            </w:pPr>
            <w:r>
              <w:rPr>
                <w:color w:val="000000"/>
              </w:rPr>
              <w:t>Thematic workshops/trainings on issues of common interest.</w:t>
            </w:r>
          </w:p>
          <w:p w14:paraId="109BB834" w14:textId="77777777" w:rsidR="00056AEE" w:rsidRDefault="00A00CB7" w:rsidP="003A38F8">
            <w:pPr>
              <w:pStyle w:val="Paragraphedeliste"/>
              <w:numPr>
                <w:ilvl w:val="0"/>
                <w:numId w:val="10"/>
              </w:numPr>
              <w:spacing w:after="150"/>
              <w:ind w:right="100"/>
            </w:pPr>
            <w:r>
              <w:rPr>
                <w:color w:val="000000"/>
              </w:rPr>
              <w:t>Working groups on topics of common interest (e.g. data management and exchange, communication and dissemination, science-policy link, scientific synergies).</w:t>
            </w:r>
          </w:p>
        </w:tc>
      </w:tr>
    </w:tbl>
    <w:p w14:paraId="43AA1959" w14:textId="77777777" w:rsidR="00056AEE" w:rsidRDefault="00056AEE">
      <w:pPr>
        <w:spacing w:after="0" w:line="150" w:lineRule="auto"/>
      </w:pPr>
    </w:p>
    <w:p w14:paraId="6F9B4D30"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tailored and contributing to most of the following expected outcomes:</w:t>
      </w:r>
    </w:p>
    <w:p w14:paraId="33ED0CD2" w14:textId="77777777" w:rsidR="00056AEE" w:rsidRDefault="00A00CB7" w:rsidP="003A38F8">
      <w:pPr>
        <w:pStyle w:val="Paragraphedeliste"/>
        <w:numPr>
          <w:ilvl w:val="0"/>
          <w:numId w:val="11"/>
        </w:numPr>
      </w:pPr>
      <w:r>
        <w:rPr>
          <w:color w:val="000000"/>
        </w:rPr>
        <w:t xml:space="preserve">Global and EU policies preventing and reducing the health impacts of pollution are supported with up-to-date scientific evidence, tools and </w:t>
      </w:r>
      <w:proofErr w:type="gramStart"/>
      <w:r>
        <w:rPr>
          <w:color w:val="000000"/>
        </w:rPr>
        <w:t>methodologies;</w:t>
      </w:r>
      <w:proofErr w:type="gramEnd"/>
    </w:p>
    <w:p w14:paraId="28119ACC" w14:textId="77777777" w:rsidR="00056AEE" w:rsidRDefault="00A00CB7" w:rsidP="003A38F8">
      <w:pPr>
        <w:pStyle w:val="Paragraphedeliste"/>
        <w:numPr>
          <w:ilvl w:val="0"/>
          <w:numId w:val="11"/>
        </w:numPr>
      </w:pPr>
      <w:r>
        <w:rPr>
          <w:color w:val="000000"/>
        </w:rPr>
        <w:t xml:space="preserve">Citizens are more protected by having a better insight into exposure to pollution and its impacts on brain health and adopting health enhancing </w:t>
      </w:r>
      <w:proofErr w:type="gramStart"/>
      <w:r>
        <w:rPr>
          <w:color w:val="000000"/>
        </w:rPr>
        <w:t>behaviours;</w:t>
      </w:r>
      <w:proofErr w:type="gramEnd"/>
    </w:p>
    <w:p w14:paraId="466C5B07" w14:textId="77777777" w:rsidR="00056AEE" w:rsidRDefault="00A00CB7" w:rsidP="003A38F8">
      <w:pPr>
        <w:pStyle w:val="Paragraphedeliste"/>
        <w:numPr>
          <w:ilvl w:val="0"/>
          <w:numId w:val="11"/>
        </w:numPr>
      </w:pPr>
      <w:r>
        <w:rPr>
          <w:color w:val="000000"/>
        </w:rPr>
        <w:t>Public authorities, health stakeholders, the scientific community and the society at large have access to FAIR</w:t>
      </w:r>
      <w:r>
        <w:rPr>
          <w:vertAlign w:val="superscript"/>
        </w:rPr>
        <w:footnoteReference w:id="37"/>
      </w:r>
      <w:r>
        <w:rPr>
          <w:color w:val="000000"/>
        </w:rPr>
        <w:t xml:space="preserve"> data on the link between pollution and brain health, particular windows of susceptibility to exposure and the impacts of pollution on the general population and vulnerable </w:t>
      </w:r>
      <w:proofErr w:type="gramStart"/>
      <w:r>
        <w:rPr>
          <w:color w:val="000000"/>
        </w:rPr>
        <w:t>groups;</w:t>
      </w:r>
      <w:proofErr w:type="gramEnd"/>
    </w:p>
    <w:p w14:paraId="45ECE9FE" w14:textId="77777777" w:rsidR="00056AEE" w:rsidRDefault="00A00CB7" w:rsidP="003A38F8">
      <w:pPr>
        <w:pStyle w:val="Paragraphedeliste"/>
        <w:numPr>
          <w:ilvl w:val="0"/>
          <w:numId w:val="11"/>
        </w:numPr>
      </w:pPr>
      <w:r>
        <w:rPr>
          <w:color w:val="000000"/>
        </w:rPr>
        <w:t xml:space="preserve">Public authorities develop adequate evidence-based measures and guidelines to prevent and reduce the negative impacts of pollution in the development of brain disease. </w:t>
      </w:r>
    </w:p>
    <w:p w14:paraId="2CD995EF" w14:textId="77777777" w:rsidR="00056AEE" w:rsidRDefault="00A00CB7">
      <w:r>
        <w:rPr>
          <w:u w:val="single"/>
        </w:rPr>
        <w:t>Scope</w:t>
      </w:r>
      <w:r>
        <w:t xml:space="preserve">: </w:t>
      </w:r>
      <w:r>
        <w:rPr>
          <w:color w:val="000000"/>
        </w:rPr>
        <w:t xml:space="preserve">Neurodegenerative disorders, affecting mostly adults and the elderly, include Alzheimer’s disease, Parkinson’s disease, ALS (amyotrophic lateral sclerosis), multiple sclerosis, and many others. They are frequently slowly progressive and interfere with memory, sleep, thought processes, movement, etc. In contrast, neurodevelopmental disorders </w:t>
      </w:r>
      <w:r>
        <w:rPr>
          <w:color w:val="000000"/>
        </w:rPr>
        <w:lastRenderedPageBreak/>
        <w:t xml:space="preserve">affect the growth and development of the brain and include diseases such as the </w:t>
      </w:r>
      <w:proofErr w:type="gramStart"/>
      <w:r>
        <w:rPr>
          <w:color w:val="000000"/>
        </w:rPr>
        <w:t>Attention Deficit Hyperactivity Disorder</w:t>
      </w:r>
      <w:proofErr w:type="gramEnd"/>
      <w:r>
        <w:rPr>
          <w:color w:val="000000"/>
        </w:rPr>
        <w:t xml:space="preserve"> (ADHD) and Autism Spectrum Disorder (ASD).</w:t>
      </w:r>
    </w:p>
    <w:p w14:paraId="3259B171" w14:textId="77777777" w:rsidR="00056AEE" w:rsidRDefault="00A00CB7">
      <w:r>
        <w:rPr>
          <w:color w:val="000000"/>
        </w:rPr>
        <w:t>Life-long exposure to pollutants in the living and occupational environment is an important risk factor for non-communicable diseases, leading to a variety of serious physical and mental health impacts and causing preventable disease burden with associated elevated economic costs. Pollution disproportionately impacts certain vulnerable groups (e.g. children and older adults) or groups who are more sensitive or more exposed (workers, populations living in polluted areas) to this type of environmental stressor.</w:t>
      </w:r>
    </w:p>
    <w:p w14:paraId="35F8F7B2" w14:textId="77777777" w:rsidR="00056AEE" w:rsidRDefault="00A00CB7">
      <w:r>
        <w:rPr>
          <w:color w:val="000000"/>
        </w:rPr>
        <w:t>At present, over 10% of annual premature deaths in the 27 EU Member States are related to environmental pollution. For example, for air pollution, the World Health Organization updated in 2021 its air quality guideline values by integrating the latest evidence on associated health effects and recommending new guideline values for specific pollutants. 99% of the global population in 2019 lived in locations where the new air quality guideline values were not met. Although air pollution has been considered the greatest single environmental health risk in the EU (Zero pollution monitoring assessment</w:t>
      </w:r>
      <w:r>
        <w:rPr>
          <w:vertAlign w:val="superscript"/>
        </w:rPr>
        <w:footnoteReference w:id="38"/>
      </w:r>
      <w:r>
        <w:rPr>
          <w:color w:val="000000"/>
        </w:rPr>
        <w:t>) other sources of pollution are also important determinants of health (e.g. water and soil pollution).</w:t>
      </w:r>
    </w:p>
    <w:p w14:paraId="2B43319F" w14:textId="77777777" w:rsidR="00056AEE" w:rsidRDefault="00A00CB7">
      <w:r>
        <w:rPr>
          <w:color w:val="000000"/>
        </w:rPr>
        <w:t>Age is the main risk factor for neurodegenerative diseases, but environmental exposure and lifestyle are important candidates for understanding their aetiology. Accumulating evidence suggests that the “exposome”, described as the totality of human environmental exposures from pre-conception onwards, represents major modifiable risk factors for most neurodegenerative diseases and dementia.</w:t>
      </w:r>
    </w:p>
    <w:p w14:paraId="4BD35EF4" w14:textId="77777777" w:rsidR="00056AEE" w:rsidRDefault="00A00CB7">
      <w:r>
        <w:rPr>
          <w:color w:val="000000"/>
        </w:rPr>
        <w:t>Additionally, emerging evidence suggests that pollution, especially air pollution, may contribute to the development of neurodegenerative disease, with increasing incidence in an aging population being associated with increased expression of markers of neurodegenerative disease pathology.</w:t>
      </w:r>
    </w:p>
    <w:p w14:paraId="06EE8758" w14:textId="77777777" w:rsidR="00056AEE" w:rsidRDefault="00A00CB7">
      <w:r>
        <w:rPr>
          <w:color w:val="000000"/>
        </w:rPr>
        <w:t xml:space="preserve">The environment is known to be a significant determinant of child health, with increasing evidence that some industrial chemicals are toxic to the development of the human brain. Pollution can contribute to the </w:t>
      </w:r>
      <w:proofErr w:type="spellStart"/>
      <w:r>
        <w:rPr>
          <w:color w:val="000000"/>
        </w:rPr>
        <w:t>etiology</w:t>
      </w:r>
      <w:proofErr w:type="spellEnd"/>
      <w:r>
        <w:rPr>
          <w:color w:val="000000"/>
        </w:rPr>
        <w:t xml:space="preserve"> of neurodevelopmental disorders. The health impact of many potential neurotoxic chemicals remains unstudied in human populations, including in children. The developing brain is particularly vulnerable to toxic chemical exposures, as exemplified by lead and selected pesticides, and this sensitivity is likely greatest in utero and throughout early childhood.</w:t>
      </w:r>
    </w:p>
    <w:p w14:paraId="07CAE023" w14:textId="77777777" w:rsidR="00056AEE" w:rsidRDefault="00A00CB7">
      <w:r>
        <w:rPr>
          <w:color w:val="000000"/>
        </w:rPr>
        <w:t>Chronic and repeated exposure to pollutants (e.g. pesticides), in working environments but also for consumers, has also been associated with increased risk of cognitive impairment and neurodegeneration.</w:t>
      </w:r>
    </w:p>
    <w:p w14:paraId="0D0555CA" w14:textId="77777777" w:rsidR="00056AEE" w:rsidRDefault="00A00CB7">
      <w:r>
        <w:rPr>
          <w:color w:val="000000"/>
        </w:rPr>
        <w:t xml:space="preserve">Research activities under this topic should explore evidence on the causal link between exposure to different pollutants (focusing on specific pollutants or a combination thereof) and the development or progression of neurological, neurodegenerative or neurodevelopmental </w:t>
      </w:r>
      <w:r>
        <w:rPr>
          <w:color w:val="000000"/>
        </w:rPr>
        <w:lastRenderedPageBreak/>
        <w:t>diseases or disorders</w:t>
      </w:r>
      <w:r>
        <w:rPr>
          <w:vertAlign w:val="superscript"/>
        </w:rPr>
        <w:footnoteReference w:id="39"/>
      </w:r>
      <w:r>
        <w:rPr>
          <w:color w:val="000000"/>
        </w:rPr>
        <w:t>, including, but not being limited to, one or more vulnerable, sensitive or exposed population groups and considering occupational, living and social environments. More specifically research actions under this topic should include several of the following activities with a focus on neurological, neurodegenerative or neurodevelopmental diseases or disorders:</w:t>
      </w:r>
    </w:p>
    <w:p w14:paraId="20B8ED44" w14:textId="77777777" w:rsidR="00056AEE" w:rsidRDefault="00A00CB7" w:rsidP="003A38F8">
      <w:pPr>
        <w:pStyle w:val="Paragraphedeliste"/>
        <w:numPr>
          <w:ilvl w:val="0"/>
          <w:numId w:val="12"/>
        </w:numPr>
      </w:pPr>
      <w:r>
        <w:rPr>
          <w:color w:val="000000"/>
        </w:rPr>
        <w:t xml:space="preserve">Gain better insights on the pathogenesis and the molecular, genetic and epigenetic pathways and biological mechanisms involved in the onset and progression of disease, considering emerging pollutants, specific windows of susceptibility and adopting, when relevant, a life-course approach. Synergistic neurotoxic effects and realistic doses and duration of exposure should also be </w:t>
      </w:r>
      <w:proofErr w:type="gramStart"/>
      <w:r>
        <w:rPr>
          <w:color w:val="000000"/>
        </w:rPr>
        <w:t>considered;</w:t>
      </w:r>
      <w:proofErr w:type="gramEnd"/>
    </w:p>
    <w:p w14:paraId="71731D18" w14:textId="77777777" w:rsidR="00056AEE" w:rsidRDefault="00A00CB7" w:rsidP="003A38F8">
      <w:pPr>
        <w:pStyle w:val="Paragraphedeliste"/>
        <w:numPr>
          <w:ilvl w:val="0"/>
          <w:numId w:val="12"/>
        </w:numPr>
      </w:pPr>
      <w:r>
        <w:rPr>
          <w:color w:val="000000"/>
        </w:rPr>
        <w:t xml:space="preserve">Generate evidence on the impacts of pollution in comorbidities associated to neurodegenerative, neurological or neurodevelopmental diseases and </w:t>
      </w:r>
      <w:proofErr w:type="gramStart"/>
      <w:r>
        <w:rPr>
          <w:color w:val="000000"/>
        </w:rPr>
        <w:t>disorders;</w:t>
      </w:r>
      <w:proofErr w:type="gramEnd"/>
    </w:p>
    <w:p w14:paraId="6830284A" w14:textId="77777777" w:rsidR="00056AEE" w:rsidRDefault="00A00CB7" w:rsidP="003A38F8">
      <w:pPr>
        <w:pStyle w:val="Paragraphedeliste"/>
        <w:numPr>
          <w:ilvl w:val="0"/>
          <w:numId w:val="12"/>
        </w:numPr>
      </w:pPr>
      <w:r>
        <w:rPr>
          <w:color w:val="000000"/>
        </w:rPr>
        <w:t xml:space="preserve">Develop better in-vivo, in-silico and in-vitro models, instruments and/or methods and take advantage (as applicable) of imaging methods, -omics and bioinformatics to study disease causation and evolution, considering epigenetic factors and providing better biomarkers for early detection and disease </w:t>
      </w:r>
      <w:proofErr w:type="gramStart"/>
      <w:r>
        <w:rPr>
          <w:color w:val="000000"/>
        </w:rPr>
        <w:t>progression;</w:t>
      </w:r>
      <w:proofErr w:type="gramEnd"/>
    </w:p>
    <w:p w14:paraId="1A86816B" w14:textId="77777777" w:rsidR="00056AEE" w:rsidRDefault="00A00CB7" w:rsidP="003A38F8">
      <w:pPr>
        <w:pStyle w:val="Paragraphedeliste"/>
        <w:numPr>
          <w:ilvl w:val="0"/>
          <w:numId w:val="12"/>
        </w:numPr>
      </w:pPr>
      <w:r>
        <w:rPr>
          <w:color w:val="000000"/>
        </w:rPr>
        <w:t xml:space="preserve">Apply the exposome framework to advance the understanding of the role of environment on neurodegenerative diseases research; elucidating the </w:t>
      </w:r>
      <w:proofErr w:type="spellStart"/>
      <w:r>
        <w:rPr>
          <w:color w:val="000000"/>
        </w:rPr>
        <w:t>neuroexposome</w:t>
      </w:r>
      <w:proofErr w:type="spellEnd"/>
      <w:r>
        <w:rPr>
          <w:color w:val="000000"/>
        </w:rPr>
        <w:t xml:space="preserve"> and emphasizing the brain’s distinctive responses to environmental </w:t>
      </w:r>
      <w:proofErr w:type="gramStart"/>
      <w:r>
        <w:rPr>
          <w:color w:val="000000"/>
        </w:rPr>
        <w:t>exposures;</w:t>
      </w:r>
      <w:proofErr w:type="gramEnd"/>
    </w:p>
    <w:p w14:paraId="351F93E1" w14:textId="77777777" w:rsidR="00056AEE" w:rsidRDefault="00A00CB7" w:rsidP="003A38F8">
      <w:pPr>
        <w:pStyle w:val="Paragraphedeliste"/>
        <w:numPr>
          <w:ilvl w:val="0"/>
          <w:numId w:val="12"/>
        </w:numPr>
      </w:pPr>
      <w:r>
        <w:rPr>
          <w:color w:val="000000"/>
        </w:rPr>
        <w:t xml:space="preserve">Contribute to the development of health indicators to inform mitigation and prevention measures, incorporating, when relevant, an intersectional approach that considers diverse individual characteristics such as gender, age, and </w:t>
      </w:r>
      <w:proofErr w:type="gramStart"/>
      <w:r>
        <w:rPr>
          <w:color w:val="000000"/>
        </w:rPr>
        <w:t>disability;</w:t>
      </w:r>
      <w:proofErr w:type="gramEnd"/>
    </w:p>
    <w:p w14:paraId="1778E673" w14:textId="77777777" w:rsidR="00056AEE" w:rsidRDefault="00A00CB7" w:rsidP="003A38F8">
      <w:pPr>
        <w:pStyle w:val="Paragraphedeliste"/>
        <w:numPr>
          <w:ilvl w:val="0"/>
          <w:numId w:val="12"/>
        </w:numPr>
      </w:pPr>
      <w:r>
        <w:rPr>
          <w:color w:val="000000"/>
        </w:rPr>
        <w:t>Strengthen the understanding of the causative link between exposure and incidence of disease by taking advantage of well-designed longitudinal studies (considering exposure duration and differences in exposure composition, geographical location and sources), rigorously controlled epidemiologic studies and/or clinical, real-world and/or cohort data (building on existing national and international cohorts when available</w:t>
      </w:r>
      <w:proofErr w:type="gramStart"/>
      <w:r>
        <w:rPr>
          <w:color w:val="000000"/>
        </w:rPr>
        <w:t>);</w:t>
      </w:r>
      <w:proofErr w:type="gramEnd"/>
    </w:p>
    <w:p w14:paraId="142D76BD" w14:textId="77777777" w:rsidR="00056AEE" w:rsidRDefault="00A00CB7" w:rsidP="003A38F8">
      <w:pPr>
        <w:pStyle w:val="Paragraphedeliste"/>
        <w:numPr>
          <w:ilvl w:val="0"/>
          <w:numId w:val="12"/>
        </w:numPr>
      </w:pPr>
      <w:r>
        <w:rPr>
          <w:color w:val="000000"/>
        </w:rPr>
        <w:t xml:space="preserve">Generate evidence on the potential association between the accumulated long-term exposure of workers and consumers to pollutants (including low-level exposure) and neurological and neurodegenerative diseases. The development of neurodevelopmental disorders in children following parental exposure could also be evaluated. </w:t>
      </w:r>
    </w:p>
    <w:p w14:paraId="2F30E38A" w14:textId="77777777" w:rsidR="00056AEE" w:rsidRDefault="00A00CB7">
      <w:r>
        <w:rPr>
          <w:color w:val="000000"/>
        </w:rPr>
        <w:t>Aspects such as gender and sex related differences should be considered, where appropriate.</w:t>
      </w:r>
    </w:p>
    <w:p w14:paraId="0195E56D" w14:textId="77777777" w:rsidR="00056AEE" w:rsidRDefault="00A00CB7">
      <w:r>
        <w:rPr>
          <w:color w:val="000000"/>
        </w:rPr>
        <w:lastRenderedPageBreak/>
        <w:t>In line with the European Commission plan for phasing out animal testing</w:t>
      </w:r>
      <w:r>
        <w:rPr>
          <w:vertAlign w:val="superscript"/>
        </w:rPr>
        <w:footnoteReference w:id="40"/>
      </w:r>
      <w:r>
        <w:rPr>
          <w:color w:val="000000"/>
        </w:rPr>
        <w:t xml:space="preserve"> applicants should check the availability of non-animal approaches by means of a thorough literature search and exploit the use of </w:t>
      </w:r>
      <w:proofErr w:type="gramStart"/>
      <w:r>
        <w:rPr>
          <w:color w:val="000000"/>
        </w:rPr>
        <w:t>state of the art</w:t>
      </w:r>
      <w:proofErr w:type="gramEnd"/>
      <w:r>
        <w:rPr>
          <w:color w:val="000000"/>
        </w:rPr>
        <w:t xml:space="preserve"> non-animal methodologies when appropriate. Proposals should adhere to the FAIR</w:t>
      </w:r>
      <w:r>
        <w:rPr>
          <w:vertAlign w:val="superscript"/>
        </w:rPr>
        <w:footnoteReference w:id="41"/>
      </w:r>
      <w:r>
        <w:rPr>
          <w:color w:val="000000"/>
        </w:rPr>
        <w:t xml:space="preserve"> data principles and adopt wherever relevant, data standards and data sharing/access good practices.</w:t>
      </w:r>
    </w:p>
    <w:p w14:paraId="6E8F343A" w14:textId="77777777" w:rsidR="00056AEE" w:rsidRDefault="00A00CB7">
      <w:r>
        <w:rPr>
          <w:color w:val="000000"/>
        </w:rPr>
        <w:t>Proposals should not focus on the connection between nutrition and mental health since this topic will be covered by topic HORIZON-CL6-2025-02-FARM2FORK-13: “Nutrition and mental health”.</w:t>
      </w:r>
    </w:p>
    <w:p w14:paraId="06D386AB" w14:textId="77777777" w:rsidR="00056AEE" w:rsidRDefault="00A00CB7">
      <w:r>
        <w:rPr>
          <w:color w:val="000000"/>
        </w:rPr>
        <w:t>Applicants should be acquainted with the activities being developed under the Environment, climate and health research portfolio</w:t>
      </w:r>
      <w:r>
        <w:rPr>
          <w:vertAlign w:val="superscript"/>
        </w:rPr>
        <w:footnoteReference w:id="42"/>
      </w:r>
      <w:r>
        <w:rPr>
          <w:color w:val="000000"/>
        </w:rPr>
        <w:t>, the EFSA activities under Environmental Neurotoxicants</w:t>
      </w:r>
      <w:r>
        <w:rPr>
          <w:vertAlign w:val="superscript"/>
        </w:rPr>
        <w:footnoteReference w:id="43"/>
      </w:r>
      <w:r>
        <w:rPr>
          <w:color w:val="000000"/>
        </w:rPr>
        <w:t xml:space="preserve"> and Developmental neurotoxicity</w:t>
      </w:r>
      <w:r>
        <w:rPr>
          <w:vertAlign w:val="superscript"/>
        </w:rPr>
        <w:footnoteReference w:id="44"/>
      </w:r>
      <w:r>
        <w:rPr>
          <w:color w:val="000000"/>
        </w:rPr>
        <w:t xml:space="preserve"> and the Partnership for the Assessment of Risks from Chemicals - Parc</w:t>
      </w:r>
      <w:r>
        <w:rPr>
          <w:vertAlign w:val="superscript"/>
        </w:rPr>
        <w:footnoteReference w:id="45"/>
      </w:r>
      <w:r>
        <w:rPr>
          <w:color w:val="000000"/>
        </w:rPr>
        <w:t>.</w:t>
      </w:r>
    </w:p>
    <w:p w14:paraId="7BE1F4DB" w14:textId="77777777" w:rsidR="00056AEE" w:rsidRDefault="00A00CB7">
      <w:r>
        <w:rPr>
          <w:color w:val="000000"/>
        </w:rPr>
        <w:t xml:space="preserve">This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267B723E" w14:textId="77777777" w:rsidR="00056AEE" w:rsidRDefault="00A00CB7">
      <w:r>
        <w:rPr>
          <w:color w:val="000000"/>
        </w:rPr>
        <w:t xml:space="preserve">Proposals should take advantage of and connect to European research infrastructures and services </w:t>
      </w:r>
      <w:proofErr w:type="gramStart"/>
      <w:r>
        <w:rPr>
          <w:color w:val="000000"/>
        </w:rPr>
        <w:t>in the area of</w:t>
      </w:r>
      <w:proofErr w:type="gramEnd"/>
      <w:r>
        <w:rPr>
          <w:color w:val="000000"/>
        </w:rPr>
        <w:t xml:space="preserve"> environmental exposure assessment.</w:t>
      </w:r>
    </w:p>
    <w:p w14:paraId="68DA7196" w14:textId="77777777" w:rsidR="00056AEE" w:rsidRDefault="00A00CB7">
      <w:r>
        <w:rPr>
          <w:color w:val="000000"/>
        </w:rPr>
        <w:t>Proposals should ensure that chemical monitoring and human biomonitoring data are shared in the Information Platform for Chemical Monitoring (IPCHEM)</w:t>
      </w:r>
      <w:r>
        <w:rPr>
          <w:vertAlign w:val="superscript"/>
        </w:rPr>
        <w:footnoteReference w:id="46"/>
      </w:r>
      <w:r>
        <w:rPr>
          <w:color w:val="000000"/>
        </w:rPr>
        <w:t xml:space="preserve"> through involvement with the European Commission's Joint Research Centre (JRC). In that respect, the JRC will collaborate with any successful proposal and this collaboration, when relevant, should be established after the proposal’s approval.</w:t>
      </w:r>
    </w:p>
    <w:p w14:paraId="1F44891F" w14:textId="77777777" w:rsidR="00056AEE" w:rsidRDefault="00A00CB7">
      <w:proofErr w:type="gramStart"/>
      <w:r>
        <w:rPr>
          <w:color w:val="000000"/>
        </w:rPr>
        <w:t>In order to</w:t>
      </w:r>
      <w:proofErr w:type="gramEnd"/>
      <w:r>
        <w:rPr>
          <w:color w:val="000000"/>
        </w:rPr>
        <w:t xml:space="preserve"> optimise synergies and increase the impact of the projects, all proposals selected for funding from this topic will form a cluster and be required to participate in common networking and joint activities. Without the prerequisite to detail concrete joint activities, proposals should allocate a sufficient budget for the attendance of regular joint meetings and to cover the costs of any other potential common networking and joint activities. Guidance on the potential activities to be developed can be obtained by consulting the clusters of projects ongoing under the Environment, climate and health research portfolio</w:t>
      </w:r>
      <w:r>
        <w:rPr>
          <w:vertAlign w:val="superscript"/>
        </w:rPr>
        <w:footnoteReference w:id="47"/>
      </w:r>
      <w:r>
        <w:rPr>
          <w:color w:val="000000"/>
        </w:rPr>
        <w:t>.</w:t>
      </w:r>
    </w:p>
    <w:p w14:paraId="234D26E1" w14:textId="77777777" w:rsidR="00056AEE" w:rsidRDefault="00A00CB7">
      <w:r>
        <w:rPr>
          <w:color w:val="000000"/>
        </w:rPr>
        <w:lastRenderedPageBreak/>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61D95D8D" w14:textId="77777777" w:rsidR="00056AEE" w:rsidRDefault="00A00CB7">
      <w:pPr>
        <w:pStyle w:val="HeadingThree"/>
      </w:pPr>
      <w:bookmarkStart w:id="13" w:name="_Toc171689860"/>
      <w:r>
        <w:t xml:space="preserve">HORIZON-HLTH-2025-01-ENVHLTH-02: Advancing knowledge on the impacts of micro- and </w:t>
      </w:r>
      <w:proofErr w:type="spellStart"/>
      <w:r>
        <w:t>nanoplastics</w:t>
      </w:r>
      <w:proofErr w:type="spellEnd"/>
      <w:r>
        <w:t xml:space="preserve"> on human health</w:t>
      </w:r>
      <w:bookmarkEnd w:id="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3A38F8" w14:paraId="7007442A" w14:textId="77777777" w:rsidTr="003A38F8">
        <w:tc>
          <w:tcPr>
            <w:tcW w:w="0" w:type="auto"/>
            <w:gridSpan w:val="2"/>
          </w:tcPr>
          <w:p w14:paraId="6AE6E5ED" w14:textId="77777777" w:rsidR="00056AEE" w:rsidRDefault="00A00CB7">
            <w:pPr>
              <w:pStyle w:val="CellTextValue"/>
            </w:pPr>
            <w:r>
              <w:rPr>
                <w:b/>
              </w:rPr>
              <w:t>Call: Cluster 1 - Health (Single stage - 2025)</w:t>
            </w:r>
          </w:p>
        </w:tc>
      </w:tr>
      <w:tr w:rsidR="003A38F8" w14:paraId="7B07B9AC" w14:textId="77777777" w:rsidTr="003A38F8">
        <w:tc>
          <w:tcPr>
            <w:tcW w:w="0" w:type="auto"/>
            <w:gridSpan w:val="2"/>
          </w:tcPr>
          <w:p w14:paraId="61CEEB4D" w14:textId="77777777" w:rsidR="00056AEE" w:rsidRDefault="00A00CB7">
            <w:pPr>
              <w:pStyle w:val="CellTextValue"/>
            </w:pPr>
            <w:r>
              <w:rPr>
                <w:b/>
              </w:rPr>
              <w:t>Specific conditions</w:t>
            </w:r>
          </w:p>
        </w:tc>
      </w:tr>
      <w:tr w:rsidR="00056AEE" w14:paraId="7F9D5E18" w14:textId="77777777">
        <w:tc>
          <w:tcPr>
            <w:tcW w:w="0" w:type="auto"/>
          </w:tcPr>
          <w:p w14:paraId="726AF624" w14:textId="77777777" w:rsidR="00056AEE" w:rsidRDefault="00A00CB7">
            <w:pPr>
              <w:pStyle w:val="CellTextValue"/>
              <w:jc w:val="left"/>
            </w:pPr>
            <w:r>
              <w:rPr>
                <w:i/>
              </w:rPr>
              <w:t>Expected EU contribution per project</w:t>
            </w:r>
          </w:p>
        </w:tc>
        <w:tc>
          <w:tcPr>
            <w:tcW w:w="0" w:type="auto"/>
          </w:tcPr>
          <w:p w14:paraId="0C71AA42" w14:textId="77777777" w:rsidR="00056AEE" w:rsidRDefault="00A00CB7">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056AEE" w14:paraId="393A0770" w14:textId="77777777">
        <w:tc>
          <w:tcPr>
            <w:tcW w:w="0" w:type="auto"/>
          </w:tcPr>
          <w:p w14:paraId="532FC0CB" w14:textId="77777777" w:rsidR="00056AEE" w:rsidRDefault="00A00CB7">
            <w:pPr>
              <w:pStyle w:val="CellTextValue"/>
              <w:jc w:val="left"/>
            </w:pPr>
            <w:r>
              <w:rPr>
                <w:i/>
              </w:rPr>
              <w:t>Indicative budget</w:t>
            </w:r>
          </w:p>
        </w:tc>
        <w:tc>
          <w:tcPr>
            <w:tcW w:w="0" w:type="auto"/>
          </w:tcPr>
          <w:p w14:paraId="6A04122C" w14:textId="77777777" w:rsidR="00056AEE" w:rsidRDefault="00A00CB7">
            <w:pPr>
              <w:pStyle w:val="CellTextValue"/>
            </w:pPr>
            <w:r>
              <w:t>The total indicative budget for the topic is EUR 35.00 million.</w:t>
            </w:r>
          </w:p>
        </w:tc>
      </w:tr>
      <w:tr w:rsidR="00056AEE" w14:paraId="33298E27" w14:textId="77777777">
        <w:tc>
          <w:tcPr>
            <w:tcW w:w="0" w:type="auto"/>
          </w:tcPr>
          <w:p w14:paraId="023C2B48" w14:textId="77777777" w:rsidR="00056AEE" w:rsidRDefault="00A00CB7">
            <w:pPr>
              <w:pStyle w:val="CellTextValue"/>
              <w:jc w:val="left"/>
            </w:pPr>
            <w:r>
              <w:rPr>
                <w:i/>
              </w:rPr>
              <w:t>Type of Action</w:t>
            </w:r>
          </w:p>
        </w:tc>
        <w:tc>
          <w:tcPr>
            <w:tcW w:w="0" w:type="auto"/>
          </w:tcPr>
          <w:p w14:paraId="59552998" w14:textId="77777777" w:rsidR="00056AEE" w:rsidRDefault="00A00CB7">
            <w:pPr>
              <w:pStyle w:val="CellTextValue"/>
            </w:pPr>
            <w:r>
              <w:rPr>
                <w:color w:val="000000"/>
              </w:rPr>
              <w:t>Research and Innovation Actions</w:t>
            </w:r>
          </w:p>
        </w:tc>
      </w:tr>
      <w:tr w:rsidR="00056AEE" w14:paraId="446E14F7" w14:textId="77777777">
        <w:tc>
          <w:tcPr>
            <w:tcW w:w="0" w:type="auto"/>
          </w:tcPr>
          <w:p w14:paraId="5C3F4828" w14:textId="77777777" w:rsidR="00056AEE" w:rsidRDefault="00A00CB7">
            <w:pPr>
              <w:pStyle w:val="CellTextValue"/>
              <w:jc w:val="left"/>
            </w:pPr>
            <w:r>
              <w:rPr>
                <w:i/>
              </w:rPr>
              <w:t>Eligibility conditions</w:t>
            </w:r>
          </w:p>
        </w:tc>
        <w:tc>
          <w:tcPr>
            <w:tcW w:w="0" w:type="auto"/>
          </w:tcPr>
          <w:p w14:paraId="02C00625" w14:textId="77777777" w:rsidR="00056AEE" w:rsidRDefault="00A00CB7">
            <w:pPr>
              <w:pStyle w:val="CellTextValue"/>
            </w:pPr>
            <w:r>
              <w:rPr>
                <w:color w:val="000000"/>
              </w:rPr>
              <w:t>The conditions are described in General Annex B. The following exceptions apply:</w:t>
            </w:r>
          </w:p>
          <w:p w14:paraId="1BB8643A"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BE9D40D"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478AC13" w14:textId="77777777" w:rsidR="00056AEE" w:rsidRDefault="00A00CB7">
            <w:pPr>
              <w:pStyle w:val="CellTextValue"/>
            </w:pPr>
            <w:r>
              <w:rPr>
                <w:color w:val="000000"/>
              </w:rPr>
              <w:t>The Joint Research Centre (JRC) may participate as member of the consortium selected for funding.</w:t>
            </w:r>
          </w:p>
        </w:tc>
      </w:tr>
      <w:tr w:rsidR="00056AEE" w14:paraId="71B582E1" w14:textId="77777777">
        <w:tc>
          <w:tcPr>
            <w:tcW w:w="0" w:type="auto"/>
          </w:tcPr>
          <w:p w14:paraId="4E272D2F" w14:textId="77777777" w:rsidR="00056AEE" w:rsidRDefault="00A00CB7">
            <w:pPr>
              <w:pStyle w:val="CellTextValue"/>
              <w:jc w:val="left"/>
            </w:pPr>
            <w:r>
              <w:rPr>
                <w:i/>
              </w:rPr>
              <w:t>Award criteria</w:t>
            </w:r>
          </w:p>
        </w:tc>
        <w:tc>
          <w:tcPr>
            <w:tcW w:w="0" w:type="auto"/>
          </w:tcPr>
          <w:p w14:paraId="4FFD3BAA" w14:textId="77777777" w:rsidR="00056AEE" w:rsidRDefault="00A00CB7">
            <w:pPr>
              <w:pStyle w:val="CellTextValue"/>
            </w:pPr>
            <w:r>
              <w:rPr>
                <w:color w:val="000000"/>
              </w:rPr>
              <w:t>The criteria are described in General Annex D. The following exceptions apply:</w:t>
            </w:r>
          </w:p>
          <w:p w14:paraId="40E6CF8F" w14:textId="77777777" w:rsidR="00056AEE" w:rsidRDefault="00A00CB7">
            <w:pPr>
              <w:pStyle w:val="CellTextValue"/>
            </w:pPr>
            <w:r>
              <w:rPr>
                <w:color w:val="000000"/>
              </w:rPr>
              <w:t>The thresholds for each criterion will be 4 (Excellence), 4 (Impact) and 4 (Implementation). The cumulative threshold will be 12.</w:t>
            </w:r>
          </w:p>
        </w:tc>
      </w:tr>
      <w:tr w:rsidR="00056AEE" w14:paraId="288091E1" w14:textId="77777777">
        <w:tc>
          <w:tcPr>
            <w:tcW w:w="0" w:type="auto"/>
          </w:tcPr>
          <w:p w14:paraId="5B6ADB16" w14:textId="77777777" w:rsidR="00056AEE" w:rsidRDefault="00A00CB7">
            <w:pPr>
              <w:pStyle w:val="CellTextValue"/>
              <w:jc w:val="left"/>
            </w:pPr>
            <w:r>
              <w:rPr>
                <w:i/>
              </w:rPr>
              <w:t>Legal and financial set-up of the Grant Agreements</w:t>
            </w:r>
          </w:p>
        </w:tc>
        <w:tc>
          <w:tcPr>
            <w:tcW w:w="0" w:type="auto"/>
          </w:tcPr>
          <w:p w14:paraId="2D63C3D1" w14:textId="77777777" w:rsidR="00056AEE" w:rsidRDefault="00A00CB7">
            <w:pPr>
              <w:pStyle w:val="CellTextValue"/>
            </w:pPr>
            <w:r>
              <w:rPr>
                <w:color w:val="000000"/>
              </w:rPr>
              <w:t>The rules are described in General Annex G. The following exceptions apply:</w:t>
            </w:r>
          </w:p>
          <w:p w14:paraId="675C072F" w14:textId="77777777" w:rsidR="00056AEE" w:rsidRDefault="00A00CB7">
            <w:pPr>
              <w:pStyle w:val="CellTextValue"/>
            </w:pPr>
            <w:proofErr w:type="gramStart"/>
            <w:r>
              <w:rPr>
                <w:color w:val="000000"/>
              </w:rPr>
              <w:t>In order to</w:t>
            </w:r>
            <w:proofErr w:type="gramEnd"/>
            <w:r>
              <w:rPr>
                <w:color w:val="000000"/>
              </w:rPr>
              <w:t xml:space="preserve"> optimise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Depending on the scope of proposals selected for funding, these activities may include:</w:t>
            </w:r>
          </w:p>
          <w:p w14:paraId="508C833E" w14:textId="77777777" w:rsidR="00056AEE" w:rsidRDefault="00A00CB7" w:rsidP="003A38F8">
            <w:pPr>
              <w:pStyle w:val="Paragraphedeliste"/>
              <w:numPr>
                <w:ilvl w:val="0"/>
                <w:numId w:val="13"/>
              </w:numPr>
              <w:spacing w:after="150"/>
              <w:ind w:right="100"/>
            </w:pPr>
            <w:r>
              <w:rPr>
                <w:color w:val="000000"/>
              </w:rPr>
              <w:lastRenderedPageBreak/>
              <w:t>Attendance of regular joint meetings (e.g., common kick-off meeting and annual meetings).</w:t>
            </w:r>
          </w:p>
          <w:p w14:paraId="3993D450" w14:textId="77777777" w:rsidR="00056AEE" w:rsidRDefault="00A00CB7" w:rsidP="003A38F8">
            <w:pPr>
              <w:pStyle w:val="Paragraphedeliste"/>
              <w:numPr>
                <w:ilvl w:val="0"/>
                <w:numId w:val="13"/>
              </w:numPr>
              <w:spacing w:after="150"/>
              <w:ind w:right="100"/>
            </w:pPr>
            <w:r>
              <w:rPr>
                <w:color w:val="000000"/>
              </w:rPr>
              <w:t>Periodic report of joint activities (delivered at each reporting period).</w:t>
            </w:r>
          </w:p>
          <w:p w14:paraId="7744E563" w14:textId="77777777" w:rsidR="00056AEE" w:rsidRDefault="00A00CB7" w:rsidP="003A38F8">
            <w:pPr>
              <w:pStyle w:val="Paragraphedeliste"/>
              <w:numPr>
                <w:ilvl w:val="0"/>
                <w:numId w:val="13"/>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29210F7C" w14:textId="77777777" w:rsidR="00056AEE" w:rsidRDefault="00A00CB7" w:rsidP="003A38F8">
            <w:pPr>
              <w:pStyle w:val="Paragraphedeliste"/>
              <w:numPr>
                <w:ilvl w:val="0"/>
                <w:numId w:val="13"/>
              </w:numPr>
              <w:spacing w:after="150"/>
              <w:ind w:right="100"/>
            </w:pPr>
            <w:r>
              <w:rPr>
                <w:color w:val="000000"/>
              </w:rPr>
              <w:t>Common Data Management Strategy and Common Policy Strategy (including joint policy briefs).</w:t>
            </w:r>
          </w:p>
          <w:p w14:paraId="745BE016" w14:textId="77777777" w:rsidR="00056AEE" w:rsidRDefault="00A00CB7" w:rsidP="003A38F8">
            <w:pPr>
              <w:pStyle w:val="Paragraphedeliste"/>
              <w:numPr>
                <w:ilvl w:val="0"/>
                <w:numId w:val="13"/>
              </w:numPr>
              <w:spacing w:after="150"/>
              <w:ind w:right="100"/>
            </w:pPr>
            <w:r>
              <w:rPr>
                <w:color w:val="000000"/>
              </w:rPr>
              <w:t>Thematic workshops/trainings on issues of common interest.</w:t>
            </w:r>
          </w:p>
          <w:p w14:paraId="03B0963F" w14:textId="77777777" w:rsidR="00056AEE" w:rsidRDefault="00A00CB7" w:rsidP="003A38F8">
            <w:pPr>
              <w:pStyle w:val="Paragraphedeliste"/>
              <w:numPr>
                <w:ilvl w:val="0"/>
                <w:numId w:val="13"/>
              </w:numPr>
              <w:spacing w:after="150"/>
              <w:ind w:right="100"/>
            </w:pPr>
            <w:r>
              <w:rPr>
                <w:color w:val="000000"/>
              </w:rPr>
              <w:t>Working groups on topics of common interest (e.g. data management and exchange, communication and dissemination, science-policy link, scientific synergies).</w:t>
            </w:r>
          </w:p>
        </w:tc>
      </w:tr>
    </w:tbl>
    <w:p w14:paraId="676937E8" w14:textId="77777777" w:rsidR="00056AEE" w:rsidRDefault="00056AEE">
      <w:pPr>
        <w:spacing w:after="0" w:line="150" w:lineRule="auto"/>
      </w:pPr>
    </w:p>
    <w:p w14:paraId="4A92B0F2"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tailored and contributing to most of the following expected outcomes:</w:t>
      </w:r>
    </w:p>
    <w:p w14:paraId="789B22CE" w14:textId="77777777" w:rsidR="00056AEE" w:rsidRDefault="00A00CB7" w:rsidP="003A38F8">
      <w:pPr>
        <w:pStyle w:val="Paragraphedeliste"/>
        <w:numPr>
          <w:ilvl w:val="0"/>
          <w:numId w:val="14"/>
        </w:numPr>
      </w:pPr>
      <w:r>
        <w:rPr>
          <w:color w:val="000000"/>
        </w:rPr>
        <w:t xml:space="preserve">Environmental and health policies reducing exposure to micro- and </w:t>
      </w:r>
      <w:proofErr w:type="spellStart"/>
      <w:r>
        <w:rPr>
          <w:color w:val="000000"/>
        </w:rPr>
        <w:t>nanoplastics</w:t>
      </w:r>
      <w:proofErr w:type="spellEnd"/>
      <w:r>
        <w:rPr>
          <w:color w:val="000000"/>
        </w:rPr>
        <w:t xml:space="preserve"> and preventing their health impacts are supported with up-to-date scientific evidence, standards, tools and </w:t>
      </w:r>
      <w:proofErr w:type="gramStart"/>
      <w:r>
        <w:rPr>
          <w:color w:val="000000"/>
        </w:rPr>
        <w:t>methodologies;</w:t>
      </w:r>
      <w:proofErr w:type="gramEnd"/>
    </w:p>
    <w:p w14:paraId="72933271" w14:textId="77777777" w:rsidR="00056AEE" w:rsidRDefault="00A00CB7" w:rsidP="003A38F8">
      <w:pPr>
        <w:pStyle w:val="Paragraphedeliste"/>
        <w:numPr>
          <w:ilvl w:val="0"/>
          <w:numId w:val="14"/>
        </w:numPr>
      </w:pPr>
      <w:r>
        <w:rPr>
          <w:color w:val="000000"/>
        </w:rPr>
        <w:t>Public authorities and the scientific community have access to FAIR</w:t>
      </w:r>
      <w:r>
        <w:rPr>
          <w:vertAlign w:val="superscript"/>
        </w:rPr>
        <w:footnoteReference w:id="48"/>
      </w:r>
      <w:r>
        <w:rPr>
          <w:color w:val="000000"/>
        </w:rPr>
        <w:t xml:space="preserve"> data on realistic human exposures to micro- and </w:t>
      </w:r>
      <w:proofErr w:type="spellStart"/>
      <w:r>
        <w:rPr>
          <w:color w:val="000000"/>
        </w:rPr>
        <w:t>nanoplastics</w:t>
      </w:r>
      <w:proofErr w:type="spellEnd"/>
      <w:r>
        <w:rPr>
          <w:color w:val="000000"/>
        </w:rPr>
        <w:t xml:space="preserve"> and their impacts on human health based on real-world scenarios across living and working </w:t>
      </w:r>
      <w:proofErr w:type="gramStart"/>
      <w:r>
        <w:rPr>
          <w:color w:val="000000"/>
        </w:rPr>
        <w:t>environments;</w:t>
      </w:r>
      <w:proofErr w:type="gramEnd"/>
    </w:p>
    <w:p w14:paraId="140311C3" w14:textId="77777777" w:rsidR="00056AEE" w:rsidRDefault="00A00CB7" w:rsidP="003A38F8">
      <w:pPr>
        <w:pStyle w:val="Paragraphedeliste"/>
        <w:numPr>
          <w:ilvl w:val="0"/>
          <w:numId w:val="14"/>
        </w:numPr>
      </w:pPr>
      <w:r>
        <w:rPr>
          <w:color w:val="000000"/>
        </w:rPr>
        <w:t xml:space="preserve">Citizens are informed about the impacts of exposure to micro- and </w:t>
      </w:r>
      <w:proofErr w:type="spellStart"/>
      <w:r>
        <w:rPr>
          <w:color w:val="000000"/>
        </w:rPr>
        <w:t>nanoplastics</w:t>
      </w:r>
      <w:proofErr w:type="spellEnd"/>
      <w:r>
        <w:rPr>
          <w:color w:val="000000"/>
        </w:rPr>
        <w:t xml:space="preserve"> on health and adopt behaviours protecting health and reducing human impacts on the </w:t>
      </w:r>
      <w:proofErr w:type="gramStart"/>
      <w:r>
        <w:rPr>
          <w:color w:val="000000"/>
        </w:rPr>
        <w:t>environment;</w:t>
      </w:r>
      <w:proofErr w:type="gramEnd"/>
    </w:p>
    <w:p w14:paraId="54CD314B" w14:textId="77777777" w:rsidR="00056AEE" w:rsidRDefault="00A00CB7" w:rsidP="003A38F8">
      <w:pPr>
        <w:pStyle w:val="Paragraphedeliste"/>
        <w:numPr>
          <w:ilvl w:val="0"/>
          <w:numId w:val="14"/>
        </w:numPr>
      </w:pPr>
      <w:r>
        <w:rPr>
          <w:color w:val="000000"/>
        </w:rPr>
        <w:t xml:space="preserve">Existing major knowledge gaps in the understanding of the health impacts of exposure to micro- and </w:t>
      </w:r>
      <w:proofErr w:type="spellStart"/>
      <w:r>
        <w:rPr>
          <w:color w:val="000000"/>
        </w:rPr>
        <w:t>nanoplastics</w:t>
      </w:r>
      <w:proofErr w:type="spellEnd"/>
      <w:r>
        <w:rPr>
          <w:color w:val="000000"/>
        </w:rPr>
        <w:t xml:space="preserve"> are filled and mitigation measures based on robust evidence are </w:t>
      </w:r>
      <w:proofErr w:type="gramStart"/>
      <w:r>
        <w:rPr>
          <w:color w:val="000000"/>
        </w:rPr>
        <w:t>promoted;</w:t>
      </w:r>
      <w:proofErr w:type="gramEnd"/>
    </w:p>
    <w:p w14:paraId="5EE8E0B6" w14:textId="77777777" w:rsidR="00056AEE" w:rsidRDefault="00A00CB7" w:rsidP="003A38F8">
      <w:pPr>
        <w:pStyle w:val="Paragraphedeliste"/>
        <w:numPr>
          <w:ilvl w:val="0"/>
          <w:numId w:val="14"/>
        </w:numPr>
      </w:pPr>
      <w:r>
        <w:rPr>
          <w:color w:val="000000"/>
        </w:rPr>
        <w:t xml:space="preserve">Public authorities and regulators are supported with evidence-based guidance to design health policies. </w:t>
      </w:r>
    </w:p>
    <w:p w14:paraId="2701977C" w14:textId="77777777" w:rsidR="00056AEE" w:rsidRDefault="00A00CB7">
      <w:r>
        <w:rPr>
          <w:u w:val="single"/>
        </w:rPr>
        <w:t>Scope</w:t>
      </w:r>
      <w:r>
        <w:t xml:space="preserve">: </w:t>
      </w:r>
      <w:r>
        <w:rPr>
          <w:color w:val="000000"/>
        </w:rPr>
        <w:t xml:space="preserve">Plastics are an important material in our economy that are everywhere in our daily lives but can present negative environmental and health impacts. A significant amount of plastic waste is discharged to the environment, degrading into micro- or nano-sized plastic </w:t>
      </w:r>
      <w:r>
        <w:rPr>
          <w:color w:val="000000"/>
        </w:rPr>
        <w:lastRenderedPageBreak/>
        <w:t xml:space="preserve">particles that are defined as micro- or </w:t>
      </w:r>
      <w:proofErr w:type="spellStart"/>
      <w:r>
        <w:rPr>
          <w:color w:val="000000"/>
        </w:rPr>
        <w:t>nanoplastics</w:t>
      </w:r>
      <w:proofErr w:type="spellEnd"/>
      <w:r>
        <w:rPr>
          <w:color w:val="000000"/>
        </w:rPr>
        <w:t xml:space="preserve"> (MNPs). MNPs can be detected in both marine and terrestrial ecosystems worldwide in food, water, air and consumer products. These MNPs have been documented to accumulate in the human body into cells and tissues (e.g. liver, kidney, gastrointestinal track, placenta, testicles) and cause associated adverse biological effects (e.g. inflammatory response, </w:t>
      </w:r>
      <w:proofErr w:type="spellStart"/>
      <w:r>
        <w:rPr>
          <w:color w:val="000000"/>
        </w:rPr>
        <w:t>geno</w:t>
      </w:r>
      <w:proofErr w:type="spellEnd"/>
      <w:r>
        <w:rPr>
          <w:color w:val="000000"/>
        </w:rPr>
        <w:t xml:space="preserve">-, cyto-, neuro- and nephron-, respiratory and reproductive toxicity). Exposure routes for MNPs into the human body can be through inhalation, ingestion and dermal contact and translocation of </w:t>
      </w:r>
      <w:proofErr w:type="spellStart"/>
      <w:r>
        <w:rPr>
          <w:color w:val="000000"/>
        </w:rPr>
        <w:t>nanoplastics</w:t>
      </w:r>
      <w:proofErr w:type="spellEnd"/>
      <w:r>
        <w:rPr>
          <w:color w:val="000000"/>
        </w:rPr>
        <w:t xml:space="preserve"> and small microplastics through tissues and organs can occur. Furthermore, it has been documented that MNPs can cause additional harm by releasing specific chemical additives with potentially negative health impacts. However, because microplastics are an emerging contaminant and research on the causality between exposure to MNPs and health impacts is still at a relatively early stage, the evidence on the health risks of exposure to MNPs is scattered and numerous knowledge gaps </w:t>
      </w:r>
      <w:proofErr w:type="gramStart"/>
      <w:r>
        <w:rPr>
          <w:color w:val="000000"/>
        </w:rPr>
        <w:t>still persist</w:t>
      </w:r>
      <w:proofErr w:type="gramEnd"/>
      <w:r>
        <w:rPr>
          <w:color w:val="000000"/>
        </w:rPr>
        <w:t>. As a result, the precautionary principle needs to be applied in relevant policy measures to prevent possible harmful effects.</w:t>
      </w:r>
    </w:p>
    <w:p w14:paraId="031D4312" w14:textId="77777777" w:rsidR="00056AEE" w:rsidRDefault="00A00CB7">
      <w:r>
        <w:rPr>
          <w:color w:val="000000"/>
        </w:rPr>
        <w:t xml:space="preserve">Research activities under this topic should strengthen the evidence on the impacts of micro- and </w:t>
      </w:r>
      <w:proofErr w:type="spellStart"/>
      <w:r>
        <w:rPr>
          <w:color w:val="000000"/>
        </w:rPr>
        <w:t>nanoplastics</w:t>
      </w:r>
      <w:proofErr w:type="spellEnd"/>
      <w:r>
        <w:rPr>
          <w:color w:val="000000"/>
        </w:rPr>
        <w:t xml:space="preserve"> exposure on human health, considering living and working environments and different exposure routes (inhalation, ingestion and dermal exposure). Proposals should focus on realistic concentrations of tested particles and exposures to a variety of sizes, shapes and chemical compositions of MNPs materials and advance in the comparability between studies. The research activities proposed should build on the outcomes of past and existing research projects and other relevant initiatives. Moreover, research activities should </w:t>
      </w:r>
      <w:proofErr w:type="gramStart"/>
      <w:r>
        <w:rPr>
          <w:color w:val="000000"/>
        </w:rPr>
        <w:t>take into account</w:t>
      </w:r>
      <w:proofErr w:type="gramEnd"/>
      <w:r>
        <w:rPr>
          <w:color w:val="000000"/>
        </w:rPr>
        <w:t xml:space="preserve"> recent policy developments, support relevant policy gaps and needs and support the work on standardisation of analytical methods.</w:t>
      </w:r>
    </w:p>
    <w:p w14:paraId="14A2C6E9" w14:textId="77777777" w:rsidR="00056AEE" w:rsidRDefault="00A00CB7">
      <w:r>
        <w:rPr>
          <w:color w:val="000000"/>
        </w:rPr>
        <w:t>More specifically, research actions under this topic should include several of the following activities:</w:t>
      </w:r>
    </w:p>
    <w:p w14:paraId="43B5830E" w14:textId="77777777" w:rsidR="00056AEE" w:rsidRDefault="00A00CB7" w:rsidP="003A38F8">
      <w:pPr>
        <w:pStyle w:val="Paragraphedeliste"/>
        <w:numPr>
          <w:ilvl w:val="0"/>
          <w:numId w:val="15"/>
        </w:numPr>
      </w:pPr>
      <w:r>
        <w:rPr>
          <w:color w:val="000000"/>
        </w:rPr>
        <w:t xml:space="preserve">Study the mechanisms of action and pathways involved on the causative link between exposure to MNPs and molecular, cellular and organism level </w:t>
      </w:r>
      <w:proofErr w:type="gramStart"/>
      <w:r>
        <w:rPr>
          <w:color w:val="000000"/>
        </w:rPr>
        <w:t>effects;</w:t>
      </w:r>
      <w:proofErr w:type="gramEnd"/>
    </w:p>
    <w:p w14:paraId="25719996" w14:textId="77777777" w:rsidR="00056AEE" w:rsidRDefault="00A00CB7" w:rsidP="003A38F8">
      <w:pPr>
        <w:pStyle w:val="Paragraphedeliste"/>
        <w:numPr>
          <w:ilvl w:val="0"/>
          <w:numId w:val="15"/>
        </w:numPr>
      </w:pPr>
      <w:r>
        <w:rPr>
          <w:color w:val="000000"/>
        </w:rPr>
        <w:t xml:space="preserve">Improve the understanding of the drivers of toxicity and other adverse health effects of MNPs, using realistic environmental samples and considering varying sizes, shapes, concentrations and chemical compositions, and interaction with components in the </w:t>
      </w:r>
      <w:proofErr w:type="gramStart"/>
      <w:r>
        <w:rPr>
          <w:color w:val="000000"/>
        </w:rPr>
        <w:t>environment;</w:t>
      </w:r>
      <w:proofErr w:type="gramEnd"/>
    </w:p>
    <w:p w14:paraId="121DDFBE" w14:textId="77777777" w:rsidR="00056AEE" w:rsidRDefault="00A00CB7" w:rsidP="003A38F8">
      <w:pPr>
        <w:pStyle w:val="Paragraphedeliste"/>
        <w:numPr>
          <w:ilvl w:val="0"/>
          <w:numId w:val="15"/>
        </w:numPr>
      </w:pPr>
      <w:r>
        <w:rPr>
          <w:color w:val="000000"/>
        </w:rPr>
        <w:t xml:space="preserve">Develop suitable and (environmentally) relevant reference materials that can be used to improve robustness and comparability across </w:t>
      </w:r>
      <w:proofErr w:type="gramStart"/>
      <w:r>
        <w:rPr>
          <w:color w:val="000000"/>
        </w:rPr>
        <w:t>laboratories;</w:t>
      </w:r>
      <w:proofErr w:type="gramEnd"/>
    </w:p>
    <w:p w14:paraId="1F1D441B" w14:textId="77777777" w:rsidR="00056AEE" w:rsidRDefault="00A00CB7" w:rsidP="003A38F8">
      <w:pPr>
        <w:pStyle w:val="Paragraphedeliste"/>
        <w:numPr>
          <w:ilvl w:val="0"/>
          <w:numId w:val="15"/>
        </w:numPr>
      </w:pPr>
      <w:r>
        <w:rPr>
          <w:color w:val="000000"/>
        </w:rPr>
        <w:t xml:space="preserve">Develop better in-vivo, in-silico and in-vitro models, instruments and methods for risk and hazard assessment harmonised across various types of MNPs. These include long-term exposure and monitoring models, mimicking real-world scenarios and dosimetry and observational studies on humans and development of strategies to integrate experimental and in-silico </w:t>
      </w:r>
      <w:proofErr w:type="gramStart"/>
      <w:r>
        <w:rPr>
          <w:color w:val="000000"/>
        </w:rPr>
        <w:t>data;</w:t>
      </w:r>
      <w:proofErr w:type="gramEnd"/>
    </w:p>
    <w:p w14:paraId="40CA8F9C" w14:textId="77777777" w:rsidR="00056AEE" w:rsidRDefault="00A00CB7" w:rsidP="003A38F8">
      <w:pPr>
        <w:pStyle w:val="Paragraphedeliste"/>
        <w:numPr>
          <w:ilvl w:val="0"/>
          <w:numId w:val="15"/>
        </w:numPr>
      </w:pPr>
      <w:r>
        <w:rPr>
          <w:color w:val="000000"/>
        </w:rPr>
        <w:lastRenderedPageBreak/>
        <w:t xml:space="preserve">Strengthen the understanding of the long-term impacts of MNPs on human health, including in living and working environments, MNPs’ fate and systemic effects through well-designed and robust systematic </w:t>
      </w:r>
      <w:proofErr w:type="gramStart"/>
      <w:r>
        <w:rPr>
          <w:color w:val="000000"/>
        </w:rPr>
        <w:t>studies;</w:t>
      </w:r>
      <w:proofErr w:type="gramEnd"/>
    </w:p>
    <w:p w14:paraId="35F4184F" w14:textId="77777777" w:rsidR="00056AEE" w:rsidRDefault="00A00CB7" w:rsidP="003A38F8">
      <w:pPr>
        <w:pStyle w:val="Paragraphedeliste"/>
        <w:numPr>
          <w:ilvl w:val="0"/>
          <w:numId w:val="15"/>
        </w:numPr>
      </w:pPr>
      <w:r>
        <w:rPr>
          <w:color w:val="000000"/>
        </w:rPr>
        <w:t>Gain better insights on the interactions between MNPs (and their additives) with other pollutants and/or biological agents and the combined impacts of these interactions on human health (considering also the understanding of individual toxicity effects</w:t>
      </w:r>
      <w:proofErr w:type="gramStart"/>
      <w:r>
        <w:rPr>
          <w:color w:val="000000"/>
        </w:rPr>
        <w:t>);</w:t>
      </w:r>
      <w:proofErr w:type="gramEnd"/>
    </w:p>
    <w:p w14:paraId="705550DC" w14:textId="77777777" w:rsidR="00056AEE" w:rsidRDefault="00A00CB7" w:rsidP="003A38F8">
      <w:pPr>
        <w:pStyle w:val="Paragraphedeliste"/>
        <w:numPr>
          <w:ilvl w:val="0"/>
          <w:numId w:val="15"/>
        </w:numPr>
      </w:pPr>
      <w:r>
        <w:rPr>
          <w:color w:val="000000"/>
        </w:rPr>
        <w:t xml:space="preserve">Provide evidence on the exposures to MNPs at work: identify environments with highest concentrations (e.g., in the waste management and recycling operations, in marine environments) and focus on improving approaches for assessment, prevention and mitigation of occupational </w:t>
      </w:r>
      <w:proofErr w:type="gramStart"/>
      <w:r>
        <w:rPr>
          <w:color w:val="000000"/>
        </w:rPr>
        <w:t>exposures;</w:t>
      </w:r>
      <w:proofErr w:type="gramEnd"/>
    </w:p>
    <w:p w14:paraId="140BF0AD" w14:textId="77777777" w:rsidR="00056AEE" w:rsidRDefault="00A00CB7" w:rsidP="003A38F8">
      <w:pPr>
        <w:pStyle w:val="Paragraphedeliste"/>
        <w:numPr>
          <w:ilvl w:val="0"/>
          <w:numId w:val="15"/>
        </w:numPr>
      </w:pPr>
      <w:r>
        <w:rPr>
          <w:color w:val="000000"/>
        </w:rPr>
        <w:t xml:space="preserve">Strengthen the existing knowledge on human exposure to micro- and </w:t>
      </w:r>
      <w:proofErr w:type="spellStart"/>
      <w:r>
        <w:rPr>
          <w:color w:val="000000"/>
        </w:rPr>
        <w:t>nanoplastics</w:t>
      </w:r>
      <w:proofErr w:type="spellEnd"/>
      <w:r>
        <w:rPr>
          <w:color w:val="000000"/>
        </w:rPr>
        <w:t xml:space="preserve"> through the development of human biomonitoring studies and the use of specific biomarkers and </w:t>
      </w:r>
      <w:proofErr w:type="gramStart"/>
      <w:r>
        <w:rPr>
          <w:color w:val="000000"/>
        </w:rPr>
        <w:t>endpoints;</w:t>
      </w:r>
      <w:proofErr w:type="gramEnd"/>
    </w:p>
    <w:p w14:paraId="291CCDED" w14:textId="77777777" w:rsidR="00056AEE" w:rsidRDefault="00A00CB7" w:rsidP="003A38F8">
      <w:pPr>
        <w:pStyle w:val="Paragraphedeliste"/>
        <w:numPr>
          <w:ilvl w:val="0"/>
          <w:numId w:val="15"/>
        </w:numPr>
      </w:pPr>
      <w:r>
        <w:rPr>
          <w:color w:val="000000"/>
        </w:rPr>
        <w:t xml:space="preserve">Propose mitigation measures to reduce population exposure to MNPs including collecting evidence on the health impacts of potential alternative materials developed to replace </w:t>
      </w:r>
      <w:proofErr w:type="gramStart"/>
      <w:r>
        <w:rPr>
          <w:color w:val="000000"/>
        </w:rPr>
        <w:t>plastics;</w:t>
      </w:r>
      <w:proofErr w:type="gramEnd"/>
    </w:p>
    <w:p w14:paraId="5114D5F6" w14:textId="77777777" w:rsidR="00056AEE" w:rsidRDefault="00A00CB7" w:rsidP="003A38F8">
      <w:pPr>
        <w:pStyle w:val="Paragraphedeliste"/>
        <w:numPr>
          <w:ilvl w:val="0"/>
          <w:numId w:val="15"/>
        </w:numPr>
      </w:pPr>
      <w:r>
        <w:rPr>
          <w:color w:val="000000"/>
        </w:rPr>
        <w:t xml:space="preserve">Increase the understanding of the environmental routes of exposure to MNPs, considering real-life exposure </w:t>
      </w:r>
      <w:proofErr w:type="gramStart"/>
      <w:r>
        <w:rPr>
          <w:color w:val="000000"/>
        </w:rPr>
        <w:t>routes;</w:t>
      </w:r>
      <w:proofErr w:type="gramEnd"/>
    </w:p>
    <w:p w14:paraId="2761288B" w14:textId="77777777" w:rsidR="00056AEE" w:rsidRDefault="00A00CB7" w:rsidP="003A38F8">
      <w:pPr>
        <w:pStyle w:val="Paragraphedeliste"/>
        <w:numPr>
          <w:ilvl w:val="0"/>
          <w:numId w:val="15"/>
        </w:numPr>
      </w:pPr>
      <w:r>
        <w:rPr>
          <w:color w:val="000000"/>
        </w:rPr>
        <w:t xml:space="preserve">Gain better insights on the delivery mechanisms and study the elimination process of MNPs in the human body and the microbiome capacity to degrade ingested </w:t>
      </w:r>
      <w:proofErr w:type="gramStart"/>
      <w:r>
        <w:rPr>
          <w:color w:val="000000"/>
        </w:rPr>
        <w:t>MNPs;</w:t>
      </w:r>
      <w:proofErr w:type="gramEnd"/>
    </w:p>
    <w:p w14:paraId="555D1EBB" w14:textId="77777777" w:rsidR="00056AEE" w:rsidRDefault="00A00CB7" w:rsidP="003A38F8">
      <w:pPr>
        <w:pStyle w:val="Paragraphedeliste"/>
        <w:numPr>
          <w:ilvl w:val="0"/>
          <w:numId w:val="15"/>
        </w:numPr>
      </w:pPr>
      <w:r>
        <w:rPr>
          <w:color w:val="000000"/>
        </w:rPr>
        <w:t xml:space="preserve">Increase comparability between studies by means of a better optimisation and standardisation of the analytical methods, protocols and methodologies to collect MNPs in the environment and detect and quantify the exposure in the human body and in the environment. </w:t>
      </w:r>
    </w:p>
    <w:p w14:paraId="7070DBA6" w14:textId="77777777" w:rsidR="00056AEE" w:rsidRDefault="00A00CB7">
      <w:r>
        <w:rPr>
          <w:color w:val="000000"/>
        </w:rPr>
        <w:t>Aspects such as gender and sex related differences should be considered, where appropriate.</w:t>
      </w:r>
    </w:p>
    <w:p w14:paraId="34A768D7" w14:textId="77777777" w:rsidR="00056AEE" w:rsidRDefault="00A00CB7">
      <w:r>
        <w:rPr>
          <w:color w:val="000000"/>
        </w:rPr>
        <w:t>In line with the European Commission plan for phasing out animal testing</w:t>
      </w:r>
      <w:r>
        <w:rPr>
          <w:vertAlign w:val="superscript"/>
        </w:rPr>
        <w:footnoteReference w:id="49"/>
      </w:r>
      <w:r>
        <w:rPr>
          <w:color w:val="000000"/>
        </w:rPr>
        <w:t xml:space="preserve"> applicants should check the availability of non-animal approaches by means of a thorough literature search and exploit the use of </w:t>
      </w:r>
      <w:proofErr w:type="gramStart"/>
      <w:r>
        <w:rPr>
          <w:color w:val="000000"/>
        </w:rPr>
        <w:t>state of the art</w:t>
      </w:r>
      <w:proofErr w:type="gramEnd"/>
      <w:r>
        <w:rPr>
          <w:color w:val="000000"/>
        </w:rPr>
        <w:t xml:space="preserve"> non-animal methodologies when appropriate.</w:t>
      </w:r>
    </w:p>
    <w:p w14:paraId="156DCB90" w14:textId="77777777" w:rsidR="00056AEE" w:rsidRDefault="00A00CB7">
      <w:r>
        <w:rPr>
          <w:color w:val="000000"/>
        </w:rPr>
        <w:t>Applicants should be acquainted with the activities being developed under the Environment, climate and health portfolio</w:t>
      </w:r>
      <w:r>
        <w:rPr>
          <w:vertAlign w:val="superscript"/>
        </w:rPr>
        <w:footnoteReference w:id="50"/>
      </w:r>
      <w:r>
        <w:rPr>
          <w:color w:val="000000"/>
        </w:rPr>
        <w:t xml:space="preserve"> and </w:t>
      </w:r>
      <w:proofErr w:type="gramStart"/>
      <w:r>
        <w:rPr>
          <w:color w:val="000000"/>
        </w:rPr>
        <w:t>in particular by</w:t>
      </w:r>
      <w:proofErr w:type="gramEnd"/>
      <w:r>
        <w:rPr>
          <w:color w:val="000000"/>
        </w:rPr>
        <w:t xml:space="preserve"> the CUSP cluster</w:t>
      </w:r>
      <w:r>
        <w:rPr>
          <w:vertAlign w:val="superscript"/>
        </w:rPr>
        <w:footnoteReference w:id="51"/>
      </w:r>
      <w:r>
        <w:rPr>
          <w:color w:val="000000"/>
        </w:rPr>
        <w:t>.</w:t>
      </w:r>
    </w:p>
    <w:p w14:paraId="3027036B" w14:textId="77777777" w:rsidR="00056AEE" w:rsidRDefault="00A00CB7">
      <w:r>
        <w:rPr>
          <w:color w:val="000000"/>
        </w:rPr>
        <w:t xml:space="preserve">This topic requires the effective contribution of social sciences and humanities (SSH) disciplines and the involvement of SSH experts, institutions as well as the inclusion of </w:t>
      </w:r>
      <w:r>
        <w:rPr>
          <w:color w:val="000000"/>
        </w:rPr>
        <w:lastRenderedPageBreak/>
        <w:t xml:space="preserve">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 Proposals should adhere to the FAIR</w:t>
      </w:r>
      <w:r>
        <w:rPr>
          <w:vertAlign w:val="superscript"/>
        </w:rPr>
        <w:footnoteReference w:id="52"/>
      </w:r>
      <w:r>
        <w:rPr>
          <w:color w:val="000000"/>
        </w:rPr>
        <w:t xml:space="preserve"> data principles and adopt wherever relevant, data standards and data sharing/access good practices.</w:t>
      </w:r>
    </w:p>
    <w:p w14:paraId="63BAEADF" w14:textId="77777777" w:rsidR="00056AEE" w:rsidRDefault="00A00CB7">
      <w:r>
        <w:rPr>
          <w:color w:val="000000"/>
        </w:rPr>
        <w:t>Proposals could consider the involvement of the European Commission's Joint Research Centre (JRC) with respect to the value it could bring in providing an effective interface between research activities and regulatory aspects and/or in translating research results into harmonised test methods and strategies fit for regulatory purpose. In that respect, the JRC will consider collaborating with any successful proposal and this collaboration, when relevant, should be established after the proposal’s approval. Proposals should ensure that chemical monitoring and human biomonitoring data are shared in IPCHEM</w:t>
      </w:r>
      <w:r>
        <w:rPr>
          <w:vertAlign w:val="superscript"/>
        </w:rPr>
        <w:footnoteReference w:id="53"/>
      </w:r>
      <w:r>
        <w:rPr>
          <w:color w:val="000000"/>
        </w:rPr>
        <w:t xml:space="preserve"> through involvement with the European Commission's Joint Research Centre (JRC).</w:t>
      </w:r>
    </w:p>
    <w:p w14:paraId="14D16666" w14:textId="77777777" w:rsidR="00056AEE" w:rsidRDefault="00A00CB7">
      <w:proofErr w:type="gramStart"/>
      <w:r>
        <w:rPr>
          <w:color w:val="000000"/>
        </w:rPr>
        <w:t>In order to</w:t>
      </w:r>
      <w:proofErr w:type="gramEnd"/>
      <w:r>
        <w:rPr>
          <w:color w:val="000000"/>
        </w:rPr>
        <w:t xml:space="preserve"> optimise synergies and increase the impact of the projects, all proposals selected for funding from this topic will form a cluster and be required to participate in common networking and joint activities. Without the prerequisite to detail concrete joint activities, proposals should allocate a sufficient budget for the attendance of regular joint meetings and to cover the costs of any other potential common networking and joint activities. Guidance on the potential activities to be developed can be obtained by consulting the clusters of projects ongoing under the Environment, climate and health portfolio</w:t>
      </w:r>
      <w:r>
        <w:rPr>
          <w:vertAlign w:val="superscript"/>
        </w:rPr>
        <w:footnoteReference w:id="54"/>
      </w:r>
      <w:r>
        <w:rPr>
          <w:color w:val="000000"/>
        </w:rPr>
        <w:t>.</w:t>
      </w:r>
    </w:p>
    <w:p w14:paraId="4052146C"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27E64402" w14:textId="77777777" w:rsidR="00056AEE" w:rsidRPr="006372DB" w:rsidRDefault="00A00CB7">
      <w:pPr>
        <w:pStyle w:val="HeadingTwo"/>
        <w:rPr>
          <w:lang w:val="en-US"/>
        </w:rPr>
      </w:pPr>
      <w:bookmarkStart w:id="14" w:name="_Toc171689861"/>
      <w:r w:rsidRPr="006372DB">
        <w:rPr>
          <w:lang w:val="en-US"/>
        </w:rPr>
        <w:t>Destination - Tackling diseases and reducing disease burden</w:t>
      </w:r>
      <w:bookmarkEnd w:id="14"/>
    </w:p>
    <w:p w14:paraId="47CBD339" w14:textId="77777777" w:rsidR="00056AEE" w:rsidRDefault="00A00CB7">
      <w:r>
        <w:rPr>
          <w:color w:val="000000"/>
        </w:rPr>
        <w:t>Calls for proposals under this destination are directed towards the Key Strategic Orientation 3 “</w:t>
      </w:r>
      <w:r>
        <w:rPr>
          <w:i/>
          <w:color w:val="000000"/>
        </w:rPr>
        <w:t>A more resilient, competitive, inclusive, and democratic Europe</w:t>
      </w:r>
      <w:r>
        <w:rPr>
          <w:color w:val="000000"/>
        </w:rPr>
        <w:t>” of Horizon Europe’s Strategic Plan 2025-2027.</w:t>
      </w:r>
    </w:p>
    <w:p w14:paraId="71730B05" w14:textId="77777777" w:rsidR="00056AEE" w:rsidRDefault="00A00CB7">
      <w:r>
        <w:rPr>
          <w:color w:val="000000"/>
        </w:rPr>
        <w:t>Research and Innovation supported under this destination should contribute to the following expected impact, set out in the Strategic Plan for the Health Cluster: “</w:t>
      </w:r>
      <w:r>
        <w:rPr>
          <w:i/>
          <w:color w:val="000000"/>
        </w:rPr>
        <w:t>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technologies and medical countermeasures, better ability and preparedness to manage pandemic and/or epidemic outbreaks, and improved patient safety</w:t>
      </w:r>
      <w:r>
        <w:rPr>
          <w:color w:val="000000"/>
        </w:rPr>
        <w:t>”</w:t>
      </w:r>
      <w:r>
        <w:rPr>
          <w:i/>
          <w:color w:val="000000"/>
        </w:rPr>
        <w:t>.</w:t>
      </w:r>
    </w:p>
    <w:p w14:paraId="657AAC6F" w14:textId="77777777" w:rsidR="00056AEE" w:rsidRDefault="00A00CB7">
      <w:r>
        <w:rPr>
          <w:color w:val="000000"/>
        </w:rPr>
        <w:t xml:space="preserve">Communicable and non-communicable diseases cause the greatest amounts of premature death and disabilities and pose a major health, societal and economic threat and burden in the </w:t>
      </w:r>
      <w:r>
        <w:rPr>
          <w:color w:val="000000"/>
        </w:rPr>
        <w:lastRenderedPageBreak/>
        <w:t xml:space="preserve">EU and worldwide. Many people are still suffering from these diseases and too often dying prematurely. Although many of these diseases are preventable to a large extend, only around 3% of the health care budgets are currently spent on preventive measures. Therefore, there is the urgent need to develop new public health interventions, preventive, diagnostic and therapeutic approaches, alternatives to antimicrobials, as well as to improve existing preparedness and response strategies to create tangible impacts, </w:t>
      </w:r>
      <w:proofErr w:type="gramStart"/>
      <w:r>
        <w:rPr>
          <w:color w:val="000000"/>
        </w:rPr>
        <w:t>taking into account</w:t>
      </w:r>
      <w:proofErr w:type="gramEnd"/>
      <w:r>
        <w:rPr>
          <w:color w:val="000000"/>
        </w:rPr>
        <w:t xml:space="preserve"> sex/gender-related issues. In this regard, Research and Innovation will require international cooperation to pool the best expertise and know-how available worldwide, to access world-class research infrastructures and to leverage critical scales of investments on priority needs through a better alignment with other funders of international cooperation in health Research and Innovation. The continuation of international partnerships and cooperation with international organisations is particularly needed to combat infectious diseases, to address brain health, to respond to public health needs, including the global burden of non-communicable diseases.</w:t>
      </w:r>
    </w:p>
    <w:p w14:paraId="2E3614A3" w14:textId="77777777" w:rsidR="00056AEE" w:rsidRDefault="00A00CB7">
      <w:r>
        <w:rPr>
          <w:color w:val="000000"/>
        </w:rPr>
        <w:t>In this work programme, Destination “</w:t>
      </w:r>
      <w:r>
        <w:rPr>
          <w:i/>
          <w:color w:val="000000"/>
        </w:rPr>
        <w:t>Tackling diseases and reducing disease burden</w:t>
      </w:r>
      <w:r>
        <w:rPr>
          <w:color w:val="000000"/>
        </w:rPr>
        <w:t xml:space="preserve">” will focus on major societal challenges linked to the Commission’s political priorities such as the fight against non-communicable and communicable diseases, mental health and better treatment of mental, behavioural and neurodevelopmental diseases, preparedness and response to and surveillance of health threats and epidemics, reduction and treatment of the number of antimicrobial-resistant infections. In particular, the topics under this destination will support activities aiming at: </w:t>
      </w:r>
      <w:proofErr w:type="spellStart"/>
      <w:r>
        <w:rPr>
          <w:color w:val="000000"/>
        </w:rPr>
        <w:t>i</w:t>
      </w:r>
      <w:proofErr w:type="spellEnd"/>
      <w:r>
        <w:rPr>
          <w:color w:val="000000"/>
        </w:rPr>
        <w:t>) new effective treatment options for patients suffering from antimicrobial resistant (AMR) infections; ii) innovative therapeutic interventions and complementary approached for patients suffering from mental, behavioural and neurodevelopmental disorders; iii) new prevention and treatment options for infectious diseases with epidemic potential; iv) Artificial Intelligence (AI) based tools and technologies for pandemic preparedness and response; v) implementation research on strengthening health systems in the context of non-communicable diseases; vi) supporting the Global Research Collaboration for Infectious Disease Preparedness; vii) setting up the European Partnership for Brain Health; and viii) supporting efforts of the European Partnership fostering a European Research for health research (ERA4Health)</w:t>
      </w:r>
      <w:r>
        <w:rPr>
          <w:vertAlign w:val="superscript"/>
        </w:rPr>
        <w:footnoteReference w:id="55"/>
      </w:r>
      <w:r>
        <w:rPr>
          <w:color w:val="000000"/>
        </w:rPr>
        <w:t xml:space="preserve"> in particular in funding large-scale multi-country Investigator-Initiated Clinical Studies (IICS) various health interventions addressing important public health needs.</w:t>
      </w:r>
    </w:p>
    <w:p w14:paraId="6BC283C9" w14:textId="77777777" w:rsidR="00056AEE" w:rsidRDefault="00A00CB7">
      <w:r>
        <w:rPr>
          <w:color w:val="000000"/>
        </w:rPr>
        <w:t xml:space="preserve">In view of increasing the impact of EU investments under Horizon Europe, the European Commission welcomes and supports cooperation between EU-funded projects to enable cross-fertilisation and other synergies. This could range from networking to joint activities such as the participation in joint workshops, the exchange of knowledge, the development and adoption of best practices, or joint communication activities. Opportunities for potential synergies exist between projects funded under the same topic but also between other projects funded under another topic, Cluster or pillar of Horizon Europe (but also with ongoing projects funded under Horizon 2020). </w:t>
      </w:r>
      <w:proofErr w:type="gramStart"/>
      <w:r>
        <w:rPr>
          <w:color w:val="000000"/>
        </w:rPr>
        <w:t>In particular, this</w:t>
      </w:r>
      <w:proofErr w:type="gramEnd"/>
      <w:r>
        <w:rPr>
          <w:color w:val="000000"/>
        </w:rPr>
        <w:t xml:space="preserve"> could involve projects related to European health research infrastructures (under pillar I of Horizon Europe), the EIC strategic </w:t>
      </w:r>
      <w:r>
        <w:rPr>
          <w:color w:val="000000"/>
        </w:rPr>
        <w:lastRenderedPageBreak/>
        <w:t xml:space="preserve">challenges on health and EIT-KIC Health (under pillar III of Horizon Europe), or in areas cutting across the health and other Clusters (under pillar II of Horizon Europe). For instance, with Cluster 3 </w:t>
      </w:r>
      <w:r>
        <w:rPr>
          <w:i/>
          <w:color w:val="000000"/>
        </w:rPr>
        <w:t>“Civil security for society”</w:t>
      </w:r>
      <w:r>
        <w:rPr>
          <w:color w:val="000000"/>
        </w:rPr>
        <w:t xml:space="preserve"> such as on health security/emergencies (preparedness and response, medical countermeasures, epidemic outbreaks/pandemics, natural disasters and technological incidents, bioterrorism); with Cluster 4 </w:t>
      </w:r>
      <w:r>
        <w:rPr>
          <w:i/>
          <w:color w:val="000000"/>
        </w:rPr>
        <w:t>“Digital, Industry and Space”</w:t>
      </w:r>
      <w:r>
        <w:rPr>
          <w:color w:val="000000"/>
        </w:rPr>
        <w:t xml:space="preserve"> such as on AI-based tools and technologies (e.g. detection, management and monitoring of an epidemic at population levels, and the diagnosis, treatment, and prevention at the level of individuals); or with Cluster 6 </w:t>
      </w:r>
      <w:r>
        <w:rPr>
          <w:i/>
          <w:color w:val="000000"/>
        </w:rPr>
        <w:t>“Food, bioeconomy, natural resources, agriculture and environment”</w:t>
      </w:r>
      <w:r>
        <w:rPr>
          <w:color w:val="000000"/>
        </w:rPr>
        <w:t xml:space="preserve"> such as on antimicrobial resistant - AMR (e.g. new effective treatment options, alternatives to antibiotics).</w:t>
      </w:r>
    </w:p>
    <w:p w14:paraId="2046964E" w14:textId="77777777" w:rsidR="00056AEE" w:rsidRDefault="00A00CB7">
      <w:r>
        <w:rPr>
          <w:color w:val="000000"/>
        </w:rPr>
        <w:t>Some Research and Innovation actions under this destination should support the mission of the European Health Emergency and Response Authority (HERA) to strengthen Europe’s ability to prevent, detect, and rapidly respond to cross-border health emergencies by ensuring the availability and access to key medical countermeasures. Furthermore, synergies and complementarities will be sought between this destination and the implementation of the EU4Health Programme (2021-2027)</w:t>
      </w:r>
      <w:r>
        <w:rPr>
          <w:vertAlign w:val="superscript"/>
        </w:rPr>
        <w:footnoteReference w:id="56"/>
      </w:r>
      <w:r>
        <w:rPr>
          <w:color w:val="000000"/>
        </w:rPr>
        <w:t>. These synergies and complementarities could be achieved, notably through mechanisms based on feedback loops, enabling on the one hand to identify policy needs that should be prioritised in Research and Innovation actions and facilitating on the other hand the implementation of research results into policy actions and clinical practice, thereby providing an integrated response across sectors and policy fields.</w:t>
      </w:r>
    </w:p>
    <w:p w14:paraId="4F00F18C" w14:textId="77777777" w:rsidR="00056AEE" w:rsidRDefault="00A00CB7">
      <w:r>
        <w:rPr>
          <w:color w:val="000000"/>
          <w:u w:val="single"/>
        </w:rPr>
        <w:t>Expected impacts</w:t>
      </w:r>
      <w:r>
        <w:rPr>
          <w:color w:val="000000"/>
        </w:rPr>
        <w:t>:</w:t>
      </w:r>
      <w:r>
        <w:rPr>
          <w:color w:val="000000"/>
          <w:u w:val="single"/>
        </w:rPr>
        <w:t xml:space="preserve"> </w:t>
      </w:r>
    </w:p>
    <w:p w14:paraId="723F5F13" w14:textId="77777777" w:rsidR="00056AEE" w:rsidRDefault="00A00CB7">
      <w:r>
        <w:rPr>
          <w:color w:val="000000"/>
        </w:rPr>
        <w:t>Proposals for topics under this destination should set out a credible pathway to contributing to tackling diseases and reducing disease burden, and more specifically to several of the following impacts:</w:t>
      </w:r>
    </w:p>
    <w:p w14:paraId="042F463B" w14:textId="77777777" w:rsidR="00056AEE" w:rsidRDefault="00A00CB7" w:rsidP="003A38F8">
      <w:pPr>
        <w:pStyle w:val="Paragraphedeliste"/>
        <w:numPr>
          <w:ilvl w:val="0"/>
          <w:numId w:val="16"/>
        </w:numPr>
      </w:pPr>
      <w:r>
        <w:rPr>
          <w:color w:val="000000"/>
        </w:rPr>
        <w:t>Health burden of diseases in the EU and worldwide is reduced through effective disease management, including through the development and integration of innovative preventive, diagnostic and therapeutic approaches, digital and other people-centred solutions for health care.</w:t>
      </w:r>
    </w:p>
    <w:p w14:paraId="24A5EF52" w14:textId="77777777" w:rsidR="00056AEE" w:rsidRDefault="00A00CB7" w:rsidP="003A38F8">
      <w:pPr>
        <w:pStyle w:val="Paragraphedeliste"/>
        <w:numPr>
          <w:ilvl w:val="0"/>
          <w:numId w:val="16"/>
        </w:numPr>
      </w:pPr>
      <w:r>
        <w:rPr>
          <w:color w:val="000000"/>
        </w:rPr>
        <w:t>Premature mortality from non-communicable diseases is reduced by one third (by 2030), mental health and wellbeing is promoted, and the voluntary targets of the WHO Global Action Plan for the Prevention and Control of NCDs</w:t>
      </w:r>
      <w:r>
        <w:rPr>
          <w:vertAlign w:val="superscript"/>
        </w:rPr>
        <w:footnoteReference w:id="57"/>
      </w:r>
      <w:r>
        <w:rPr>
          <w:color w:val="000000"/>
        </w:rPr>
        <w:t xml:space="preserve"> 2013-2020 are attained (by 2025), with an immediate impact on the related disease burden (Disability-Adjusted Life Years - DALYs)</w:t>
      </w:r>
      <w:r>
        <w:rPr>
          <w:vertAlign w:val="superscript"/>
        </w:rPr>
        <w:footnoteReference w:id="58"/>
      </w:r>
      <w:r>
        <w:rPr>
          <w:color w:val="000000"/>
          <w:vertAlign w:val="superscript"/>
        </w:rPr>
        <w:t>,</w:t>
      </w:r>
      <w:r>
        <w:rPr>
          <w:vertAlign w:val="superscript"/>
        </w:rPr>
        <w:footnoteReference w:id="59"/>
      </w:r>
      <w:r>
        <w:rPr>
          <w:color w:val="000000"/>
          <w:vertAlign w:val="superscript"/>
        </w:rPr>
        <w:t>,</w:t>
      </w:r>
      <w:r>
        <w:rPr>
          <w:vertAlign w:val="superscript"/>
        </w:rPr>
        <w:footnoteReference w:id="60"/>
      </w:r>
      <w:r>
        <w:rPr>
          <w:color w:val="000000"/>
        </w:rPr>
        <w:t>.</w:t>
      </w:r>
    </w:p>
    <w:p w14:paraId="0CDAE4E0" w14:textId="77777777" w:rsidR="00056AEE" w:rsidRDefault="00A00CB7" w:rsidP="003A38F8">
      <w:pPr>
        <w:pStyle w:val="Paragraphedeliste"/>
        <w:numPr>
          <w:ilvl w:val="0"/>
          <w:numId w:val="16"/>
        </w:numPr>
      </w:pPr>
      <w:r>
        <w:rPr>
          <w:color w:val="000000"/>
        </w:rPr>
        <w:lastRenderedPageBreak/>
        <w:t>Health care systems benefit from strengthened Research and Innovation expertise, human capacities and know-how for combatting communicable and non-communicable diseases, including through international cooperation.</w:t>
      </w:r>
    </w:p>
    <w:p w14:paraId="448B0ECF" w14:textId="77777777" w:rsidR="00056AEE" w:rsidRDefault="00A00CB7" w:rsidP="003A38F8">
      <w:pPr>
        <w:pStyle w:val="Paragraphedeliste"/>
        <w:numPr>
          <w:ilvl w:val="0"/>
          <w:numId w:val="16"/>
        </w:numPr>
      </w:pPr>
      <w:r>
        <w:rPr>
          <w:color w:val="000000"/>
        </w:rPr>
        <w:t>Citizens benefit from reduced (cross-border) health threat of epidemics and AMR pathogens, in the EU and worldwide</w:t>
      </w:r>
      <w:r>
        <w:rPr>
          <w:vertAlign w:val="superscript"/>
        </w:rPr>
        <w:footnoteReference w:id="61"/>
      </w:r>
      <w:r>
        <w:rPr>
          <w:color w:val="000000"/>
          <w:vertAlign w:val="superscript"/>
        </w:rPr>
        <w:t>,</w:t>
      </w:r>
      <w:r>
        <w:rPr>
          <w:vertAlign w:val="superscript"/>
        </w:rPr>
        <w:footnoteReference w:id="62"/>
      </w:r>
      <w:r>
        <w:rPr>
          <w:color w:val="000000"/>
        </w:rPr>
        <w:t>.</w:t>
      </w:r>
    </w:p>
    <w:p w14:paraId="25C40633" w14:textId="77777777" w:rsidR="00056AEE" w:rsidRDefault="00A00CB7" w:rsidP="003A38F8">
      <w:pPr>
        <w:pStyle w:val="Paragraphedeliste"/>
        <w:numPr>
          <w:ilvl w:val="0"/>
          <w:numId w:val="16"/>
        </w:numPr>
      </w:pPr>
      <w:r>
        <w:rPr>
          <w:color w:val="000000"/>
        </w:rPr>
        <w:t xml:space="preserve">Patients and citizens are knowledgeable of disease threats, involved and empowered to make and shape decisions for their health, and better adhere to knowledge-based disease management strategies and policies (especially for controlling outbreaks and emergencies). </w:t>
      </w:r>
    </w:p>
    <w:p w14:paraId="6C2E94B0" w14:textId="77777777" w:rsidR="00056AEE" w:rsidRDefault="00A00CB7">
      <w:r>
        <w:t>Proposals are invited against the following topic(s):</w:t>
      </w:r>
    </w:p>
    <w:p w14:paraId="520B0CB0" w14:textId="77777777" w:rsidR="00056AEE" w:rsidRDefault="00A00CB7">
      <w:pPr>
        <w:pStyle w:val="HeadingThree"/>
      </w:pPr>
      <w:bookmarkStart w:id="15" w:name="_Toc171689862"/>
      <w:r>
        <w:t>HORIZON-HLTH-2025-01-DISEASE-01: Randomised controlled trials to test safety and efficacy of phage therapy for the treatment of antibiotic-resistant bacterial infections</w:t>
      </w:r>
      <w:bookmarkEnd w:id="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7"/>
        <w:gridCol w:w="7085"/>
      </w:tblGrid>
      <w:tr w:rsidR="003A38F8" w14:paraId="728BD49E" w14:textId="77777777" w:rsidTr="003A38F8">
        <w:tc>
          <w:tcPr>
            <w:tcW w:w="0" w:type="auto"/>
            <w:gridSpan w:val="2"/>
          </w:tcPr>
          <w:p w14:paraId="0CF29362" w14:textId="77777777" w:rsidR="00056AEE" w:rsidRDefault="00A00CB7">
            <w:pPr>
              <w:pStyle w:val="CellTextValue"/>
            </w:pPr>
            <w:r>
              <w:rPr>
                <w:b/>
              </w:rPr>
              <w:t>Call: Cluster 1 - Health (Single stage - 2025)</w:t>
            </w:r>
          </w:p>
        </w:tc>
      </w:tr>
      <w:tr w:rsidR="003A38F8" w14:paraId="4768654E" w14:textId="77777777" w:rsidTr="003A38F8">
        <w:tc>
          <w:tcPr>
            <w:tcW w:w="0" w:type="auto"/>
            <w:gridSpan w:val="2"/>
          </w:tcPr>
          <w:p w14:paraId="796899FF" w14:textId="77777777" w:rsidR="00056AEE" w:rsidRDefault="00A00CB7">
            <w:pPr>
              <w:pStyle w:val="CellTextValue"/>
            </w:pPr>
            <w:r>
              <w:rPr>
                <w:b/>
              </w:rPr>
              <w:t>Specific conditions</w:t>
            </w:r>
          </w:p>
        </w:tc>
      </w:tr>
      <w:tr w:rsidR="00056AEE" w14:paraId="63D9753F" w14:textId="77777777">
        <w:tc>
          <w:tcPr>
            <w:tcW w:w="0" w:type="auto"/>
          </w:tcPr>
          <w:p w14:paraId="0B03339C" w14:textId="77777777" w:rsidR="00056AEE" w:rsidRDefault="00A00CB7">
            <w:pPr>
              <w:pStyle w:val="CellTextValue"/>
              <w:jc w:val="left"/>
            </w:pPr>
            <w:r>
              <w:rPr>
                <w:i/>
              </w:rPr>
              <w:t>Expected EU contribution per project</w:t>
            </w:r>
          </w:p>
        </w:tc>
        <w:tc>
          <w:tcPr>
            <w:tcW w:w="0" w:type="auto"/>
          </w:tcPr>
          <w:p w14:paraId="14DFAC16" w14:textId="77777777" w:rsidR="00056AEE" w:rsidRDefault="00A00CB7">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056AEE" w14:paraId="040C641E" w14:textId="77777777">
        <w:tc>
          <w:tcPr>
            <w:tcW w:w="0" w:type="auto"/>
          </w:tcPr>
          <w:p w14:paraId="2873E700" w14:textId="77777777" w:rsidR="00056AEE" w:rsidRDefault="00A00CB7">
            <w:pPr>
              <w:pStyle w:val="CellTextValue"/>
              <w:jc w:val="left"/>
            </w:pPr>
            <w:r>
              <w:rPr>
                <w:i/>
              </w:rPr>
              <w:t>Indicative budget</w:t>
            </w:r>
          </w:p>
        </w:tc>
        <w:tc>
          <w:tcPr>
            <w:tcW w:w="0" w:type="auto"/>
          </w:tcPr>
          <w:p w14:paraId="0171C12C" w14:textId="77777777" w:rsidR="00056AEE" w:rsidRDefault="00A00CB7">
            <w:pPr>
              <w:pStyle w:val="CellTextValue"/>
            </w:pPr>
            <w:r>
              <w:t>The total indicative budget for the topic is EUR 45.00 million.</w:t>
            </w:r>
          </w:p>
        </w:tc>
      </w:tr>
      <w:tr w:rsidR="00056AEE" w14:paraId="7FB85852" w14:textId="77777777">
        <w:tc>
          <w:tcPr>
            <w:tcW w:w="0" w:type="auto"/>
          </w:tcPr>
          <w:p w14:paraId="6A69900A" w14:textId="77777777" w:rsidR="00056AEE" w:rsidRDefault="00A00CB7">
            <w:pPr>
              <w:pStyle w:val="CellTextValue"/>
              <w:jc w:val="left"/>
            </w:pPr>
            <w:r>
              <w:rPr>
                <w:i/>
              </w:rPr>
              <w:t>Type of Action</w:t>
            </w:r>
          </w:p>
        </w:tc>
        <w:tc>
          <w:tcPr>
            <w:tcW w:w="0" w:type="auto"/>
          </w:tcPr>
          <w:p w14:paraId="6EC7BD5C" w14:textId="77777777" w:rsidR="00056AEE" w:rsidRDefault="00A00CB7">
            <w:pPr>
              <w:pStyle w:val="CellTextValue"/>
            </w:pPr>
            <w:r>
              <w:rPr>
                <w:color w:val="000000"/>
              </w:rPr>
              <w:t>Research and Innovation Actions</w:t>
            </w:r>
          </w:p>
        </w:tc>
      </w:tr>
      <w:tr w:rsidR="00056AEE" w14:paraId="5722272C" w14:textId="77777777">
        <w:tc>
          <w:tcPr>
            <w:tcW w:w="0" w:type="auto"/>
          </w:tcPr>
          <w:p w14:paraId="5E214330" w14:textId="77777777" w:rsidR="00056AEE" w:rsidRDefault="00A00CB7">
            <w:pPr>
              <w:pStyle w:val="CellTextValue"/>
              <w:jc w:val="left"/>
            </w:pPr>
            <w:r>
              <w:rPr>
                <w:i/>
              </w:rPr>
              <w:t>Eligibility conditions</w:t>
            </w:r>
          </w:p>
        </w:tc>
        <w:tc>
          <w:tcPr>
            <w:tcW w:w="0" w:type="auto"/>
          </w:tcPr>
          <w:p w14:paraId="3D1B7CF4" w14:textId="77777777" w:rsidR="00056AEE" w:rsidRDefault="00A00CB7">
            <w:pPr>
              <w:pStyle w:val="CellTextValue"/>
            </w:pPr>
            <w:r>
              <w:rPr>
                <w:color w:val="000000"/>
              </w:rPr>
              <w:t>The conditions are described in General Annex B. The following exceptions apply:</w:t>
            </w:r>
          </w:p>
          <w:p w14:paraId="6295616C"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17C762B3"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tc>
      </w:tr>
      <w:tr w:rsidR="00056AEE" w14:paraId="34CF9EDB" w14:textId="77777777">
        <w:tc>
          <w:tcPr>
            <w:tcW w:w="0" w:type="auto"/>
          </w:tcPr>
          <w:p w14:paraId="54459B06" w14:textId="77777777" w:rsidR="00056AEE" w:rsidRDefault="00A00CB7">
            <w:pPr>
              <w:pStyle w:val="CellTextValue"/>
              <w:jc w:val="left"/>
            </w:pPr>
            <w:r>
              <w:rPr>
                <w:i/>
              </w:rPr>
              <w:lastRenderedPageBreak/>
              <w:t>Award criteria</w:t>
            </w:r>
          </w:p>
        </w:tc>
        <w:tc>
          <w:tcPr>
            <w:tcW w:w="0" w:type="auto"/>
          </w:tcPr>
          <w:p w14:paraId="0D591F6E" w14:textId="77777777" w:rsidR="00056AEE" w:rsidRDefault="00A00CB7">
            <w:pPr>
              <w:pStyle w:val="CellTextValue"/>
            </w:pPr>
            <w:r>
              <w:rPr>
                <w:color w:val="000000"/>
              </w:rPr>
              <w:t>The criteria are described in General Annex D. The following exceptions apply:</w:t>
            </w:r>
          </w:p>
          <w:p w14:paraId="2F17882B" w14:textId="77777777" w:rsidR="00056AEE" w:rsidRDefault="00A00CB7">
            <w:pPr>
              <w:pStyle w:val="CellTextValue"/>
            </w:pPr>
            <w:r>
              <w:rPr>
                <w:color w:val="000000"/>
              </w:rPr>
              <w:t>The thresholds for each criterion will be 4 (Excellence), 4 (Impact) and 4 (Implementation). The cumulative threshold will be 12.</w:t>
            </w:r>
          </w:p>
        </w:tc>
      </w:tr>
    </w:tbl>
    <w:p w14:paraId="1C0E0B1B" w14:textId="77777777" w:rsidR="00056AEE" w:rsidRDefault="00056AEE">
      <w:pPr>
        <w:spacing w:after="0" w:line="150" w:lineRule="auto"/>
      </w:pPr>
    </w:p>
    <w:p w14:paraId="61CCD297"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most of the following expected outcomes:</w:t>
      </w:r>
    </w:p>
    <w:p w14:paraId="09B7C526" w14:textId="77777777" w:rsidR="00056AEE" w:rsidRDefault="00A00CB7" w:rsidP="003A38F8">
      <w:pPr>
        <w:pStyle w:val="Paragraphedeliste"/>
        <w:numPr>
          <w:ilvl w:val="0"/>
          <w:numId w:val="17"/>
        </w:numPr>
      </w:pPr>
      <w:r>
        <w:rPr>
          <w:color w:val="000000"/>
        </w:rPr>
        <w:t>Researchers and developers make the best use of the state-of-the-art knowledge and resources for an effective development of new treatment options for patients suffering from difficult-to-treat infections.</w:t>
      </w:r>
    </w:p>
    <w:p w14:paraId="6A12F18F" w14:textId="77777777" w:rsidR="00056AEE" w:rsidRDefault="00A00CB7" w:rsidP="003A38F8">
      <w:pPr>
        <w:pStyle w:val="Paragraphedeliste"/>
        <w:numPr>
          <w:ilvl w:val="0"/>
          <w:numId w:val="17"/>
        </w:numPr>
      </w:pPr>
      <w:r>
        <w:rPr>
          <w:color w:val="000000"/>
        </w:rPr>
        <w:t>Healthcare professionals and people living with difficult-to-treat infections are ultimately provided with the availability of clinically useful phage therapies.</w:t>
      </w:r>
    </w:p>
    <w:p w14:paraId="73C9E1F9" w14:textId="77777777" w:rsidR="00056AEE" w:rsidRDefault="00A00CB7" w:rsidP="003A38F8">
      <w:pPr>
        <w:pStyle w:val="Paragraphedeliste"/>
        <w:numPr>
          <w:ilvl w:val="0"/>
          <w:numId w:val="17"/>
        </w:numPr>
      </w:pPr>
      <w:r>
        <w:rPr>
          <w:color w:val="000000"/>
        </w:rPr>
        <w:t>Regulators are provided with quantifiable, verifiable and replicable data on safety and efficacy of phage therapy for human use and move faster towards market approval of novel phage-based therapies against antimicrobial resistant infections.</w:t>
      </w:r>
    </w:p>
    <w:p w14:paraId="22EF044C" w14:textId="77777777" w:rsidR="00056AEE" w:rsidRDefault="00A00CB7" w:rsidP="003A38F8">
      <w:pPr>
        <w:pStyle w:val="Paragraphedeliste"/>
        <w:numPr>
          <w:ilvl w:val="0"/>
          <w:numId w:val="17"/>
        </w:numPr>
      </w:pPr>
      <w:r>
        <w:rPr>
          <w:color w:val="000000"/>
        </w:rPr>
        <w:t xml:space="preserve">Citizens are engaged and informed on innovative phage-based treatments as alternative therapeutic options complementary to antibiotics. </w:t>
      </w:r>
    </w:p>
    <w:p w14:paraId="46848E62" w14:textId="77777777" w:rsidR="00056AEE" w:rsidRDefault="00A00CB7">
      <w:r>
        <w:rPr>
          <w:u w:val="single"/>
        </w:rPr>
        <w:t>Scope</w:t>
      </w:r>
      <w:r>
        <w:t xml:space="preserve">: </w:t>
      </w:r>
      <w:r>
        <w:rPr>
          <w:color w:val="000000"/>
        </w:rPr>
        <w:t>Antimicrobial resistance (AMR) has been identified by the United Nations (UN) General Assembly as a health Emergency in 2016. AMR is contributing to morbidity and mortality increasing the burden for society and healthcare costs. This is due to a worrying increase on the number of bacteria resistant to antibiotic treatment, causing chronic and often life-threatening infections such as wound and urinary tract infections. The World Health Organization (WHO) lists AMR among the top 10 threats for global health</w:t>
      </w:r>
      <w:r>
        <w:rPr>
          <w:vertAlign w:val="superscript"/>
        </w:rPr>
        <w:footnoteReference w:id="63"/>
      </w:r>
      <w:r>
        <w:rPr>
          <w:color w:val="000000"/>
          <w:vertAlign w:val="superscript"/>
        </w:rPr>
        <w:t xml:space="preserve"> </w:t>
      </w:r>
      <w:r>
        <w:rPr>
          <w:color w:val="000000"/>
        </w:rPr>
        <w:t>and recognised that lack of innovation set to undermine antibiotic performance and health gains with a major gap in the discovery of innovative antibacterial treatments</w:t>
      </w:r>
      <w:r>
        <w:rPr>
          <w:vertAlign w:val="superscript"/>
        </w:rPr>
        <w:footnoteReference w:id="64"/>
      </w:r>
      <w:r>
        <w:rPr>
          <w:color w:val="000000"/>
        </w:rPr>
        <w:t>.</w:t>
      </w:r>
    </w:p>
    <w:p w14:paraId="665716F9" w14:textId="77777777" w:rsidR="00056AEE" w:rsidRDefault="00A00CB7">
      <w:r>
        <w:rPr>
          <w:color w:val="000000"/>
        </w:rPr>
        <w:t>Hence, there is an urgent need for the development of therapies to treat infections.</w:t>
      </w:r>
    </w:p>
    <w:p w14:paraId="36193256" w14:textId="77777777" w:rsidR="00056AEE" w:rsidRDefault="00A00CB7">
      <w:r>
        <w:rPr>
          <w:color w:val="000000"/>
        </w:rPr>
        <w:t>Bacteriophages (</w:t>
      </w:r>
      <w:proofErr w:type="spellStart"/>
      <w:r>
        <w:rPr>
          <w:color w:val="000000"/>
        </w:rPr>
        <w:t>phages</w:t>
      </w:r>
      <w:proofErr w:type="spellEnd"/>
      <w:r>
        <w:rPr>
          <w:color w:val="000000"/>
        </w:rPr>
        <w:t xml:space="preserve">) represent a promising alternative or complement to antibiotics for the treatment of infections that do not respond to conventional treatment options. With the increase of AMR bacteria, both healthcare practitioners and innovators are expressing an increasing interest in the use of </w:t>
      </w:r>
      <w:proofErr w:type="spellStart"/>
      <w:r>
        <w:rPr>
          <w:color w:val="000000"/>
        </w:rPr>
        <w:t>phages</w:t>
      </w:r>
      <w:proofErr w:type="spellEnd"/>
      <w:r>
        <w:rPr>
          <w:color w:val="000000"/>
        </w:rPr>
        <w:t xml:space="preserve"> for the treatment of infections. As a result, the clinical use of phage therapy is expanding in the EU and beyond under different regulatory pathways, approaches and different conditions (e.g. magistral personalised phage preparations and fixed phage cocktails applied via compassionate use, </w:t>
      </w:r>
      <w:proofErr w:type="gramStart"/>
      <w:r>
        <w:rPr>
          <w:color w:val="000000"/>
        </w:rPr>
        <w:t>named-patients</w:t>
      </w:r>
      <w:proofErr w:type="gramEnd"/>
      <w:r>
        <w:rPr>
          <w:color w:val="000000"/>
        </w:rPr>
        <w:t xml:space="preserve"> based or expanded access programmes) despite a lack of large data on the efficacy of phage therapy for human use. So </w:t>
      </w:r>
      <w:r>
        <w:rPr>
          <w:color w:val="000000"/>
        </w:rPr>
        <w:lastRenderedPageBreak/>
        <w:t>far, a few modest-sized randomised-controlled trials have been conducted providing indications for the safety of the phage products, in agreement with preclinical animal studies. However, they could not always prove the efficacy of phage preparations.</w:t>
      </w:r>
    </w:p>
    <w:p w14:paraId="7FACEBF3" w14:textId="77777777" w:rsidR="00056AEE" w:rsidRDefault="00A00CB7">
      <w:r>
        <w:rPr>
          <w:color w:val="000000"/>
        </w:rPr>
        <w:t xml:space="preserve">Therefore, proposals should aim to develop phage-based therapies to treat bacterial infections that do not respond to conventional treatment options. For this, applicants should carry out </w:t>
      </w:r>
      <w:proofErr w:type="spellStart"/>
      <w:r>
        <w:rPr>
          <w:color w:val="000000"/>
        </w:rPr>
        <w:t>multicenter</w:t>
      </w:r>
      <w:proofErr w:type="spellEnd"/>
      <w:r>
        <w:rPr>
          <w:color w:val="000000"/>
        </w:rPr>
        <w:t>, multinational randomised controlled clinical trial (RCT) to generate scientific evidence demonstrating safety and efficacy of phage-based therapy as stand-alone or in combination with standard-of-care (such as antibiotic or other innovative non-antibiotic-based treatment) for the treatment of difficult-to-treat bacterial infections.</w:t>
      </w:r>
    </w:p>
    <w:p w14:paraId="27E4B9E5" w14:textId="77777777" w:rsidR="00056AEE" w:rsidRDefault="00A00CB7">
      <w:r>
        <w:rPr>
          <w:color w:val="000000"/>
        </w:rPr>
        <w:t>Both approaches for phage therapy, personalised phage preparations or ready-to-use phage cocktails, are in scope with the call. Innovative study design, aiming at better capturing and evaluating the full potential of the benefit of personalised phage therapy, e.g. using regularly updated phage preparations, is welcome.</w:t>
      </w:r>
    </w:p>
    <w:p w14:paraId="0CBC6055" w14:textId="77777777" w:rsidR="00056AEE" w:rsidRDefault="00A00CB7">
      <w:r>
        <w:rPr>
          <w:color w:val="000000"/>
        </w:rPr>
        <w:t>The call is open to any pathogen causing difficult to treat infections mainly due to AMR or to biofilms, for any clinical indication and applying phage treatment in any route of administration. Applicants are encouraged to address pathogens listed in the WHO Bacterial Priority Pathogens List</w:t>
      </w:r>
      <w:r>
        <w:rPr>
          <w:vertAlign w:val="superscript"/>
        </w:rPr>
        <w:footnoteReference w:id="65"/>
      </w:r>
      <w:r>
        <w:rPr>
          <w:color w:val="000000"/>
        </w:rPr>
        <w:t>.</w:t>
      </w:r>
    </w:p>
    <w:p w14:paraId="31C86410" w14:textId="77777777" w:rsidR="00056AEE" w:rsidRDefault="00A00CB7">
      <w:r>
        <w:rPr>
          <w:color w:val="000000"/>
        </w:rPr>
        <w:t>Lessons learned from previous clinical trials that failed</w:t>
      </w:r>
      <w:r>
        <w:rPr>
          <w:vertAlign w:val="superscript"/>
        </w:rPr>
        <w:footnoteReference w:id="66"/>
      </w:r>
      <w:r>
        <w:rPr>
          <w:color w:val="000000"/>
        </w:rPr>
        <w:t xml:space="preserve"> (e.g. </w:t>
      </w:r>
      <w:proofErr w:type="spellStart"/>
      <w:r>
        <w:rPr>
          <w:color w:val="000000"/>
        </w:rPr>
        <w:t>PhagoBurn</w:t>
      </w:r>
      <w:proofErr w:type="spellEnd"/>
      <w:r>
        <w:rPr>
          <w:color w:val="000000"/>
        </w:rPr>
        <w:t xml:space="preserve">) should be considered for optimal study design, e.g. inclusions and logistics criteria, to favour success and conclusive results. The proposed trial should be designed with proper patient selection, diagnostic protocols (e.g. </w:t>
      </w:r>
      <w:proofErr w:type="spellStart"/>
      <w:r>
        <w:rPr>
          <w:color w:val="000000"/>
        </w:rPr>
        <w:t>phagogram</w:t>
      </w:r>
      <w:proofErr w:type="spellEnd"/>
      <w:r>
        <w:rPr>
          <w:color w:val="000000"/>
        </w:rPr>
        <w:t>), production protocols (purification, stability, host selection, etc.) and treatment protocols (including dosage, repetition, duration, route of administration).</w:t>
      </w:r>
    </w:p>
    <w:p w14:paraId="6FB382B7" w14:textId="77777777" w:rsidR="00056AEE" w:rsidRDefault="00A00CB7">
      <w:r>
        <w:rPr>
          <w:color w:val="000000"/>
        </w:rPr>
        <w:t xml:space="preserve">All available information about the characteristics of the </w:t>
      </w:r>
      <w:proofErr w:type="spellStart"/>
      <w:r>
        <w:rPr>
          <w:color w:val="000000"/>
        </w:rPr>
        <w:t>phages</w:t>
      </w:r>
      <w:proofErr w:type="spellEnd"/>
      <w:r>
        <w:rPr>
          <w:color w:val="000000"/>
        </w:rPr>
        <w:t xml:space="preserve"> to be used in the clinical trial should be provided (e.g. sequence, stability, targeted bacteria, registration in a phage back or phage registry, etc.). Moreover, any additional indication of the use of </w:t>
      </w:r>
      <w:proofErr w:type="spellStart"/>
      <w:r>
        <w:rPr>
          <w:color w:val="000000"/>
        </w:rPr>
        <w:t>phages</w:t>
      </w:r>
      <w:proofErr w:type="spellEnd"/>
      <w:r>
        <w:rPr>
          <w:color w:val="000000"/>
        </w:rPr>
        <w:t xml:space="preserve"> for other applications than human use in the clinical trial (e.g. veterinary use, surface cleaning, food preservation) should be detailed in the proposal if available.</w:t>
      </w:r>
    </w:p>
    <w:p w14:paraId="54AA9C91" w14:textId="77777777" w:rsidR="00056AEE" w:rsidRDefault="00A00CB7">
      <w:r>
        <w:rPr>
          <w:color w:val="000000"/>
        </w:rPr>
        <w:t xml:space="preserve">The use of computational modelling and/or artificial intelligence (AI) tools is encouraged to speed/optimise trial design, implementation and/or the analysis of large data. In the same way, the use of innovative </w:t>
      </w:r>
      <w:r>
        <w:rPr>
          <w:i/>
          <w:color w:val="000000"/>
        </w:rPr>
        <w:t>in vitro</w:t>
      </w:r>
      <w:r>
        <w:rPr>
          <w:color w:val="000000"/>
        </w:rPr>
        <w:t xml:space="preserve"> models to facilitate pre-clinical selection of </w:t>
      </w:r>
      <w:proofErr w:type="spellStart"/>
      <w:r>
        <w:rPr>
          <w:color w:val="000000"/>
        </w:rPr>
        <w:t>phages</w:t>
      </w:r>
      <w:proofErr w:type="spellEnd"/>
      <w:r>
        <w:rPr>
          <w:color w:val="000000"/>
        </w:rPr>
        <w:t xml:space="preserve"> to use in the clinical trial is welcome.</w:t>
      </w:r>
    </w:p>
    <w:p w14:paraId="30454AB5" w14:textId="77777777" w:rsidR="00056AEE" w:rsidRDefault="00A00CB7">
      <w:r>
        <w:rPr>
          <w:color w:val="000000"/>
        </w:rPr>
        <w:t xml:space="preserve">In their proposal applicants should demonstrate that they have already </w:t>
      </w:r>
      <w:proofErr w:type="gramStart"/>
      <w:r>
        <w:rPr>
          <w:color w:val="000000"/>
        </w:rPr>
        <w:t>taken into account</w:t>
      </w:r>
      <w:proofErr w:type="gramEnd"/>
      <w:r>
        <w:rPr>
          <w:color w:val="000000"/>
        </w:rPr>
        <w:t xml:space="preserve"> scientific advice or protocol assistance from the European Medicines Agency (EMA)</w:t>
      </w:r>
      <w:r>
        <w:rPr>
          <w:vertAlign w:val="superscript"/>
        </w:rPr>
        <w:footnoteReference w:id="67"/>
      </w:r>
      <w:r>
        <w:rPr>
          <w:color w:val="000000"/>
        </w:rPr>
        <w:t>. In addition, they should provide a sound timeline on the trial protocol and a delivery date for the approval(s) from the regulatory body(</w:t>
      </w:r>
      <w:proofErr w:type="spellStart"/>
      <w:r>
        <w:rPr>
          <w:color w:val="000000"/>
        </w:rPr>
        <w:t>ies</w:t>
      </w:r>
      <w:proofErr w:type="spellEnd"/>
      <w:r>
        <w:rPr>
          <w:color w:val="000000"/>
        </w:rPr>
        <w:t>) at the latest 6 months from the start of the project.</w:t>
      </w:r>
    </w:p>
    <w:p w14:paraId="6D4FC809" w14:textId="77777777" w:rsidR="00056AEE" w:rsidRDefault="00A00CB7">
      <w:r>
        <w:rPr>
          <w:color w:val="000000"/>
        </w:rPr>
        <w:lastRenderedPageBreak/>
        <w:t xml:space="preserve">Applicants should propose a clear exploitation pathway through the different necessary steps (research, manufacturing, regulatory approvals and licensing, Intellectual Property management, etc.) </w:t>
      </w:r>
      <w:proofErr w:type="gramStart"/>
      <w:r>
        <w:rPr>
          <w:color w:val="000000"/>
        </w:rPr>
        <w:t>in order to</w:t>
      </w:r>
      <w:proofErr w:type="gramEnd"/>
      <w:r>
        <w:rPr>
          <w:color w:val="000000"/>
        </w:rPr>
        <w:t xml:space="preserve"> accelerate marketing authorisation and uptake by the health systems.</w:t>
      </w:r>
    </w:p>
    <w:p w14:paraId="28B9E9A5" w14:textId="77777777" w:rsidR="00056AEE" w:rsidRDefault="00A00CB7">
      <w:r>
        <w:rPr>
          <w:color w:val="000000"/>
        </w:rPr>
        <w:t>The participation of micro, small and medium-size enterprises (SMEs)</w:t>
      </w:r>
      <w:r>
        <w:rPr>
          <w:vertAlign w:val="superscript"/>
        </w:rPr>
        <w:footnoteReference w:id="68"/>
      </w:r>
      <w:r>
        <w:rPr>
          <w:color w:val="000000"/>
        </w:rPr>
        <w:t xml:space="preserve"> is encouraged with the aim to strengthen their scientific and technological basis and valorise their innovations.</w:t>
      </w:r>
    </w:p>
    <w:p w14:paraId="7F4539D3" w14:textId="77777777" w:rsidR="00056AEE" w:rsidRDefault="00A00CB7">
      <w:r>
        <w:rPr>
          <w:color w:val="000000"/>
        </w:rPr>
        <w:t>Proposals should adhere to the FAIR</w:t>
      </w:r>
      <w:r>
        <w:rPr>
          <w:vertAlign w:val="superscript"/>
        </w:rPr>
        <w:footnoteReference w:id="69"/>
      </w:r>
      <w:r>
        <w:rPr>
          <w:color w:val="000000"/>
        </w:rPr>
        <w:t xml:space="preserve"> data principles, adopt wherever relevant, data standards and data sharing/access good practices, and apply good practices for GDPR</w:t>
      </w:r>
      <w:r>
        <w:rPr>
          <w:vertAlign w:val="superscript"/>
        </w:rPr>
        <w:footnoteReference w:id="70"/>
      </w:r>
      <w:r>
        <w:rPr>
          <w:color w:val="000000"/>
        </w:rPr>
        <w:t xml:space="preserve"> compliant personal data protection.</w:t>
      </w:r>
    </w:p>
    <w:p w14:paraId="1DC86085" w14:textId="77777777" w:rsidR="00056AEE" w:rsidRDefault="00A00CB7">
      <w:r>
        <w:rPr>
          <w:color w:val="000000"/>
        </w:rPr>
        <w:t xml:space="preserve">Sex and gender aspects should be considered, where relevant. To ensure that the needs of patients living with chronic infections are adequately addressed and that there is public acceptability and confidence on innovative phage-based therapies, the involvement of patient and/or civil society representatives in all phases of the research and development process is strongly encouraged. For this, the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2B2B9460"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41E7FA58" w14:textId="77777777" w:rsidR="00056AEE" w:rsidRDefault="00A00CB7">
      <w:pPr>
        <w:pStyle w:val="HeadingThree"/>
      </w:pPr>
      <w:bookmarkStart w:id="16" w:name="_Toc171689863"/>
      <w:r>
        <w:t>HORIZON-HLTH-2025-01-DISEASE-02: Advancing innovative interventions for mental, behavioural and neurodevelopmental disorders</w:t>
      </w:r>
      <w:bookmarkEnd w:id="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3A38F8" w14:paraId="72C295F0" w14:textId="77777777" w:rsidTr="003A38F8">
        <w:tc>
          <w:tcPr>
            <w:tcW w:w="0" w:type="auto"/>
            <w:gridSpan w:val="2"/>
          </w:tcPr>
          <w:p w14:paraId="7B7BE924" w14:textId="77777777" w:rsidR="00056AEE" w:rsidRDefault="00A00CB7">
            <w:pPr>
              <w:pStyle w:val="CellTextValue"/>
            </w:pPr>
            <w:r>
              <w:rPr>
                <w:b/>
              </w:rPr>
              <w:t>Call: Cluster 1 - Health (Single stage - 2025)</w:t>
            </w:r>
          </w:p>
        </w:tc>
      </w:tr>
      <w:tr w:rsidR="003A38F8" w14:paraId="7144BCBA" w14:textId="77777777" w:rsidTr="003A38F8">
        <w:tc>
          <w:tcPr>
            <w:tcW w:w="0" w:type="auto"/>
            <w:gridSpan w:val="2"/>
          </w:tcPr>
          <w:p w14:paraId="2DFF02BD" w14:textId="77777777" w:rsidR="00056AEE" w:rsidRDefault="00A00CB7">
            <w:pPr>
              <w:pStyle w:val="CellTextValue"/>
            </w:pPr>
            <w:r>
              <w:rPr>
                <w:b/>
              </w:rPr>
              <w:t>Specific conditions</w:t>
            </w:r>
          </w:p>
        </w:tc>
      </w:tr>
      <w:tr w:rsidR="00056AEE" w14:paraId="123A004F" w14:textId="77777777">
        <w:tc>
          <w:tcPr>
            <w:tcW w:w="0" w:type="auto"/>
          </w:tcPr>
          <w:p w14:paraId="75091EBB" w14:textId="77777777" w:rsidR="00056AEE" w:rsidRDefault="00A00CB7">
            <w:pPr>
              <w:pStyle w:val="CellTextValue"/>
              <w:jc w:val="left"/>
            </w:pPr>
            <w:r>
              <w:rPr>
                <w:i/>
              </w:rPr>
              <w:t>Expected EU contribution per project</w:t>
            </w:r>
          </w:p>
        </w:tc>
        <w:tc>
          <w:tcPr>
            <w:tcW w:w="0" w:type="auto"/>
          </w:tcPr>
          <w:p w14:paraId="79ECF32D" w14:textId="77777777" w:rsidR="00056AEE" w:rsidRDefault="00A00CB7">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056AEE" w14:paraId="3C44FB0D" w14:textId="77777777">
        <w:tc>
          <w:tcPr>
            <w:tcW w:w="0" w:type="auto"/>
          </w:tcPr>
          <w:p w14:paraId="562A8D05" w14:textId="77777777" w:rsidR="00056AEE" w:rsidRDefault="00A00CB7">
            <w:pPr>
              <w:pStyle w:val="CellTextValue"/>
              <w:jc w:val="left"/>
            </w:pPr>
            <w:r>
              <w:rPr>
                <w:i/>
              </w:rPr>
              <w:t>Indicative budget</w:t>
            </w:r>
          </w:p>
        </w:tc>
        <w:tc>
          <w:tcPr>
            <w:tcW w:w="0" w:type="auto"/>
          </w:tcPr>
          <w:p w14:paraId="3970ED1B" w14:textId="77777777" w:rsidR="00056AEE" w:rsidRDefault="00A00CB7">
            <w:pPr>
              <w:pStyle w:val="CellTextValue"/>
            </w:pPr>
            <w:r>
              <w:t>The total indicative budget for the topic is EUR 50.00 million.</w:t>
            </w:r>
          </w:p>
        </w:tc>
      </w:tr>
      <w:tr w:rsidR="00056AEE" w14:paraId="76FADB1B" w14:textId="77777777">
        <w:tc>
          <w:tcPr>
            <w:tcW w:w="0" w:type="auto"/>
          </w:tcPr>
          <w:p w14:paraId="3D5FFE2F" w14:textId="77777777" w:rsidR="00056AEE" w:rsidRDefault="00A00CB7">
            <w:pPr>
              <w:pStyle w:val="CellTextValue"/>
              <w:jc w:val="left"/>
            </w:pPr>
            <w:r>
              <w:rPr>
                <w:i/>
              </w:rPr>
              <w:t>Type of Action</w:t>
            </w:r>
          </w:p>
        </w:tc>
        <w:tc>
          <w:tcPr>
            <w:tcW w:w="0" w:type="auto"/>
          </w:tcPr>
          <w:p w14:paraId="26A73076" w14:textId="77777777" w:rsidR="00056AEE" w:rsidRDefault="00A00CB7">
            <w:pPr>
              <w:pStyle w:val="CellTextValue"/>
            </w:pPr>
            <w:r>
              <w:rPr>
                <w:color w:val="000000"/>
              </w:rPr>
              <w:t>Research and Innovation Actions</w:t>
            </w:r>
          </w:p>
        </w:tc>
      </w:tr>
      <w:tr w:rsidR="00056AEE" w14:paraId="1FE7F479" w14:textId="77777777">
        <w:tc>
          <w:tcPr>
            <w:tcW w:w="0" w:type="auto"/>
          </w:tcPr>
          <w:p w14:paraId="10B49C83" w14:textId="77777777" w:rsidR="00056AEE" w:rsidRDefault="00A00CB7">
            <w:pPr>
              <w:pStyle w:val="CellTextValue"/>
              <w:jc w:val="left"/>
            </w:pPr>
            <w:r>
              <w:rPr>
                <w:i/>
              </w:rPr>
              <w:t>Eligibility conditions</w:t>
            </w:r>
          </w:p>
        </w:tc>
        <w:tc>
          <w:tcPr>
            <w:tcW w:w="0" w:type="auto"/>
          </w:tcPr>
          <w:p w14:paraId="7BE5113F" w14:textId="77777777" w:rsidR="00056AEE" w:rsidRDefault="00A00CB7">
            <w:pPr>
              <w:pStyle w:val="CellTextValue"/>
            </w:pPr>
            <w:r>
              <w:rPr>
                <w:color w:val="000000"/>
              </w:rPr>
              <w:t>The conditions are described in General Annex B. The following exceptions apply:</w:t>
            </w:r>
          </w:p>
          <w:p w14:paraId="1DD39EEA" w14:textId="77777777" w:rsidR="00056AEE" w:rsidRDefault="00A00CB7">
            <w:pPr>
              <w:pStyle w:val="CellTextValue"/>
            </w:pPr>
            <w:r>
              <w:rPr>
                <w:color w:val="000000"/>
              </w:rPr>
              <w:t xml:space="preserve">If projects use satellite-based earth observation, positioning, navigation </w:t>
            </w:r>
            <w:r>
              <w:rPr>
                <w:color w:val="000000"/>
              </w:rPr>
              <w:lastRenderedPageBreak/>
              <w:t>and/or related timing data and services, beneficiaries must make use of Copernicus and/or Galileo/EGNOS (other data and services may additionally be used).</w:t>
            </w:r>
          </w:p>
          <w:p w14:paraId="5A8448C1"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tc>
      </w:tr>
      <w:tr w:rsidR="00056AEE" w14:paraId="5693F001" w14:textId="77777777">
        <w:tc>
          <w:tcPr>
            <w:tcW w:w="0" w:type="auto"/>
          </w:tcPr>
          <w:p w14:paraId="209A9010" w14:textId="77777777" w:rsidR="00056AEE" w:rsidRDefault="00A00CB7">
            <w:pPr>
              <w:pStyle w:val="CellTextValue"/>
              <w:jc w:val="left"/>
            </w:pPr>
            <w:r>
              <w:rPr>
                <w:i/>
              </w:rPr>
              <w:lastRenderedPageBreak/>
              <w:t>Award criteria</w:t>
            </w:r>
          </w:p>
        </w:tc>
        <w:tc>
          <w:tcPr>
            <w:tcW w:w="0" w:type="auto"/>
          </w:tcPr>
          <w:p w14:paraId="649581F0" w14:textId="77777777" w:rsidR="00056AEE" w:rsidRDefault="00A00CB7">
            <w:pPr>
              <w:pStyle w:val="CellTextValue"/>
            </w:pPr>
            <w:r>
              <w:rPr>
                <w:color w:val="000000"/>
              </w:rPr>
              <w:t>The criteria are described in General Annex D. The following exceptions apply:</w:t>
            </w:r>
          </w:p>
          <w:p w14:paraId="56A6C301" w14:textId="77777777" w:rsidR="00056AEE" w:rsidRDefault="00A00CB7">
            <w:pPr>
              <w:pStyle w:val="CellTextValue"/>
            </w:pPr>
            <w:r>
              <w:rPr>
                <w:color w:val="000000"/>
              </w:rPr>
              <w:t>The thresholds for each criterion will be 4 (Excellence), 4 (Impact) and 4 (Implementation). The cumulative threshold will be 12.</w:t>
            </w:r>
          </w:p>
        </w:tc>
      </w:tr>
    </w:tbl>
    <w:p w14:paraId="046B2CC2" w14:textId="77777777" w:rsidR="00056AEE" w:rsidRDefault="00056AEE">
      <w:pPr>
        <w:spacing w:after="0" w:line="150" w:lineRule="auto"/>
      </w:pPr>
    </w:p>
    <w:p w14:paraId="1EA0D284"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1AB8C2BC" w14:textId="77777777" w:rsidR="00056AEE" w:rsidRDefault="00A00CB7" w:rsidP="003A38F8">
      <w:pPr>
        <w:pStyle w:val="Paragraphedeliste"/>
        <w:numPr>
          <w:ilvl w:val="0"/>
          <w:numId w:val="18"/>
        </w:numPr>
      </w:pPr>
      <w:r>
        <w:rPr>
          <w:color w:val="000000"/>
        </w:rPr>
        <w:t>The scientific and clinical communities make effective use of state-of-the-art knowledge, data, technologies, tools, methods, best practices, and trainings to underpin and complement the development of innovative interventions</w:t>
      </w:r>
      <w:r>
        <w:rPr>
          <w:vertAlign w:val="superscript"/>
        </w:rPr>
        <w:footnoteReference w:id="71"/>
      </w:r>
      <w:r>
        <w:rPr>
          <w:color w:val="000000"/>
          <w:vertAlign w:val="superscript"/>
        </w:rPr>
        <w:t xml:space="preserve"> </w:t>
      </w:r>
      <w:r>
        <w:rPr>
          <w:color w:val="000000"/>
        </w:rPr>
        <w:t>aimed at achieving a lasting therapeutic benefit.</w:t>
      </w:r>
    </w:p>
    <w:p w14:paraId="3D13634A" w14:textId="77777777" w:rsidR="00056AEE" w:rsidRDefault="00A00CB7" w:rsidP="003A38F8">
      <w:pPr>
        <w:pStyle w:val="Paragraphedeliste"/>
        <w:numPr>
          <w:ilvl w:val="0"/>
          <w:numId w:val="18"/>
        </w:numPr>
      </w:pPr>
      <w:r>
        <w:rPr>
          <w:color w:val="000000"/>
        </w:rPr>
        <w:t>The scientific and clinical communities benefit from the exchange of data, knowledge and best practices, thereby strengthening their collaboration in the EU, the Associated Countries and beyond.</w:t>
      </w:r>
    </w:p>
    <w:p w14:paraId="2BD4E22E" w14:textId="77777777" w:rsidR="00056AEE" w:rsidRDefault="00A00CB7" w:rsidP="003A38F8">
      <w:pPr>
        <w:pStyle w:val="Paragraphedeliste"/>
        <w:numPr>
          <w:ilvl w:val="0"/>
          <w:numId w:val="18"/>
        </w:numPr>
      </w:pPr>
      <w:r>
        <w:rPr>
          <w:color w:val="000000"/>
        </w:rPr>
        <w:t>The scientific and clinical communities make wide use of relevant databases and/or integrate them with existing infrastructures for storage and sharing of collected data according to FAIR</w:t>
      </w:r>
      <w:r>
        <w:rPr>
          <w:vertAlign w:val="superscript"/>
        </w:rPr>
        <w:footnoteReference w:id="72"/>
      </w:r>
      <w:r>
        <w:rPr>
          <w:color w:val="000000"/>
        </w:rPr>
        <w:t xml:space="preserve"> principles, thereby encouraging further use of the data.</w:t>
      </w:r>
    </w:p>
    <w:p w14:paraId="20F5BF74" w14:textId="77777777" w:rsidR="00056AEE" w:rsidRDefault="00A00CB7" w:rsidP="003A38F8">
      <w:pPr>
        <w:pStyle w:val="Paragraphedeliste"/>
        <w:numPr>
          <w:ilvl w:val="0"/>
          <w:numId w:val="18"/>
        </w:numPr>
      </w:pPr>
      <w:r>
        <w:rPr>
          <w:color w:val="000000"/>
        </w:rPr>
        <w:t>Policymakers, funders, scientific and clinical communities, patient organisations, regulators, and other relevant bodies are informed of the research advances made and the requirements for a widespread implementation of the innovative therapeutic interventions and complementary approaches.</w:t>
      </w:r>
    </w:p>
    <w:p w14:paraId="0EBE7639" w14:textId="77777777" w:rsidR="00056AEE" w:rsidRDefault="00A00CB7" w:rsidP="003A38F8">
      <w:pPr>
        <w:pStyle w:val="Paragraphedeliste"/>
        <w:numPr>
          <w:ilvl w:val="0"/>
          <w:numId w:val="18"/>
        </w:numPr>
      </w:pPr>
      <w:r>
        <w:rPr>
          <w:color w:val="000000"/>
        </w:rPr>
        <w:t xml:space="preserve">Patients and caregivers are constructively engaged with the research, ensuring that their needs are catered for, with the aim of tangibly benefitting from the interventions. </w:t>
      </w:r>
    </w:p>
    <w:p w14:paraId="3BCA1B36" w14:textId="77777777" w:rsidR="00056AEE" w:rsidRDefault="00A00CB7">
      <w:r>
        <w:rPr>
          <w:u w:val="single"/>
        </w:rPr>
        <w:t>Scope</w:t>
      </w:r>
      <w:r>
        <w:t xml:space="preserve">: </w:t>
      </w:r>
      <w:r>
        <w:rPr>
          <w:color w:val="000000"/>
        </w:rPr>
        <w:t>Mental, behavioural and neurodevelopmental disorders, that include for example severe depression, schizophrenia, psychosis, post-traumatic stress disorder (PTSD) and addictive behaviours (e.g. drugs</w:t>
      </w:r>
      <w:r>
        <w:rPr>
          <w:vertAlign w:val="superscript"/>
        </w:rPr>
        <w:footnoteReference w:id="73"/>
      </w:r>
      <w:r>
        <w:rPr>
          <w:color w:val="000000"/>
        </w:rPr>
        <w:t xml:space="preserve">, alcohol, gaming) are a high burden for patients, health </w:t>
      </w:r>
      <w:r>
        <w:rPr>
          <w:color w:val="000000"/>
        </w:rPr>
        <w:lastRenderedPageBreak/>
        <w:t>systems and society, and remain unmet medical needs. More innovative, safer and more effective therapeutic solutions are required, as for example for mental disorders many available treatments show modest efficacy, non-negligible side effects, discontinuation problems and high relapse rates. Additionally, other non-invasive multidisciplinary and transdiagnostic approaches (e.g. neurostimulation, digital, non-pharmaceutical, psychotherapy, psychosocial) are encouraged to be further developed to complement the therapeutic and relapse prevention solutions (products based on active substances). These approaches aim to further improve health outcomes, self-determination, autonomy and quality of life in the long-term.</w:t>
      </w:r>
    </w:p>
    <w:p w14:paraId="5382AA6D" w14:textId="77777777" w:rsidR="00056AEE" w:rsidRDefault="00A00CB7">
      <w:r>
        <w:rPr>
          <w:color w:val="000000"/>
        </w:rPr>
        <w:t>The disorders within the scope of this topic fall under Chapter 6 of the International Classification of Diseases</w:t>
      </w:r>
      <w:r>
        <w:rPr>
          <w:vertAlign w:val="superscript"/>
        </w:rPr>
        <w:footnoteReference w:id="74"/>
      </w:r>
      <w:r>
        <w:rPr>
          <w:color w:val="000000"/>
        </w:rPr>
        <w:t>. Rare diseases are excluded</w:t>
      </w:r>
      <w:r>
        <w:rPr>
          <w:vertAlign w:val="superscript"/>
        </w:rPr>
        <w:footnoteReference w:id="75"/>
      </w:r>
      <w:r>
        <w:rPr>
          <w:color w:val="000000"/>
        </w:rPr>
        <w:t>.</w:t>
      </w:r>
    </w:p>
    <w:p w14:paraId="56D10032" w14:textId="77777777" w:rsidR="00056AEE" w:rsidRDefault="00A00CB7">
      <w:r>
        <w:rPr>
          <w:color w:val="000000"/>
        </w:rPr>
        <w:t>Proposals should address most of the following aspects:</w:t>
      </w:r>
    </w:p>
    <w:p w14:paraId="2B016DE2" w14:textId="77777777" w:rsidR="00056AEE" w:rsidRDefault="00A00CB7" w:rsidP="003A38F8">
      <w:pPr>
        <w:pStyle w:val="Paragraphedeliste"/>
        <w:numPr>
          <w:ilvl w:val="0"/>
          <w:numId w:val="19"/>
        </w:numPr>
      </w:pPr>
      <w:r>
        <w:rPr>
          <w:color w:val="000000"/>
        </w:rPr>
        <w:t>Perform rigorous clinical studies into the safety and efficacy of the innovative interventions and their mode of administration, ensuring adequate cohorts/sample sizes with adequate representation of the patient population, including in terms of age and gender.</w:t>
      </w:r>
    </w:p>
    <w:p w14:paraId="70E14A45" w14:textId="77777777" w:rsidR="00056AEE" w:rsidRDefault="00A00CB7" w:rsidP="003A38F8">
      <w:pPr>
        <w:pStyle w:val="Paragraphedeliste"/>
        <w:numPr>
          <w:ilvl w:val="0"/>
          <w:numId w:val="19"/>
        </w:numPr>
      </w:pPr>
      <w:r>
        <w:rPr>
          <w:color w:val="000000"/>
        </w:rPr>
        <w:t>Through the clinical studies, gain further insight into the mechanism(s) of action of the innovative therapies and complementary approaches. This could entail analyses of imaging (e.g. MRI, ultrasound, nuclear imaging), as well as physiological, biochemical or omics signatures revealing potential perturbations prior to the intervention and recovery thereafter. This insight should open the path to more personalised interventions and approaches.</w:t>
      </w:r>
    </w:p>
    <w:p w14:paraId="0DEB2ABC" w14:textId="77777777" w:rsidR="00056AEE" w:rsidRDefault="00A00CB7" w:rsidP="003A38F8">
      <w:pPr>
        <w:pStyle w:val="Paragraphedeliste"/>
        <w:numPr>
          <w:ilvl w:val="0"/>
          <w:numId w:val="19"/>
        </w:numPr>
      </w:pPr>
      <w:r>
        <w:rPr>
          <w:color w:val="000000"/>
        </w:rPr>
        <w:t>Use and/or develop technologies, including digital ones (e.g., (generative) Artificial Intelligence - AI</w:t>
      </w:r>
      <w:r>
        <w:rPr>
          <w:vertAlign w:val="superscript"/>
        </w:rPr>
        <w:footnoteReference w:id="76"/>
      </w:r>
      <w:r>
        <w:rPr>
          <w:color w:val="000000"/>
        </w:rPr>
        <w:t>, wearable technologies) to help implement and monitor the long-term efficacy of the intervention(s), as well as manage the disorder and/or monitor their progression (e.g. with unobtrusive technologies suitable for patient monitoring at home and in real-world conditions), whilst also ensuring they are bias-free, inclusive, and ethically sound.</w:t>
      </w:r>
    </w:p>
    <w:p w14:paraId="11D336E8" w14:textId="77777777" w:rsidR="00056AEE" w:rsidRDefault="00A00CB7" w:rsidP="003A38F8">
      <w:pPr>
        <w:pStyle w:val="Paragraphedeliste"/>
        <w:numPr>
          <w:ilvl w:val="0"/>
          <w:numId w:val="19"/>
        </w:numPr>
      </w:pPr>
      <w:r>
        <w:rPr>
          <w:color w:val="000000"/>
        </w:rPr>
        <w:t>Exploit existing data, biobanks, registries and/or cohorts, together with the generation of new data.</w:t>
      </w:r>
    </w:p>
    <w:p w14:paraId="6EEE1621" w14:textId="77777777" w:rsidR="00056AEE" w:rsidRDefault="00A00CB7" w:rsidP="003A38F8">
      <w:pPr>
        <w:pStyle w:val="Paragraphedeliste"/>
        <w:numPr>
          <w:ilvl w:val="0"/>
          <w:numId w:val="19"/>
        </w:numPr>
      </w:pPr>
      <w:r>
        <w:rPr>
          <w:color w:val="000000"/>
        </w:rPr>
        <w:lastRenderedPageBreak/>
        <w:t>Engage all relevant stakeholders (especially patients and patients’ representatives for the disorder, caregivers, clinicians, counsellors, regulators, etc.) to design end-user optimised interventions, applying gender-sensitive and intersectional approaches.</w:t>
      </w:r>
    </w:p>
    <w:p w14:paraId="3ED3E481" w14:textId="77777777" w:rsidR="00056AEE" w:rsidRDefault="00A00CB7" w:rsidP="003A38F8">
      <w:pPr>
        <w:pStyle w:val="Paragraphedeliste"/>
        <w:numPr>
          <w:ilvl w:val="0"/>
          <w:numId w:val="19"/>
        </w:numPr>
      </w:pPr>
      <w:r>
        <w:rPr>
          <w:color w:val="000000"/>
        </w:rPr>
        <w:t>Advance research by leveraging already existing and emerging state-of-the-art research infrastructures (e.g. ECRIN</w:t>
      </w:r>
      <w:r>
        <w:rPr>
          <w:vertAlign w:val="superscript"/>
        </w:rPr>
        <w:footnoteReference w:id="77"/>
      </w:r>
      <w:r>
        <w:rPr>
          <w:color w:val="000000"/>
        </w:rPr>
        <w:t>, EATRIS</w:t>
      </w:r>
      <w:r>
        <w:rPr>
          <w:vertAlign w:val="superscript"/>
        </w:rPr>
        <w:footnoteReference w:id="78"/>
      </w:r>
      <w:r>
        <w:rPr>
          <w:color w:val="000000"/>
        </w:rPr>
        <w:t>, EBRAINS</w:t>
      </w:r>
      <w:r>
        <w:rPr>
          <w:vertAlign w:val="superscript"/>
        </w:rPr>
        <w:footnoteReference w:id="79"/>
      </w:r>
      <w:r>
        <w:rPr>
          <w:color w:val="000000"/>
        </w:rPr>
        <w:t>, BBMRI</w:t>
      </w:r>
      <w:r>
        <w:rPr>
          <w:vertAlign w:val="superscript"/>
        </w:rPr>
        <w:footnoteReference w:id="80"/>
      </w:r>
      <w:r>
        <w:rPr>
          <w:color w:val="000000"/>
        </w:rPr>
        <w:t>, European Genomic Data Infrastructure</w:t>
      </w:r>
      <w:r>
        <w:rPr>
          <w:vertAlign w:val="superscript"/>
        </w:rPr>
        <w:footnoteReference w:id="81"/>
      </w:r>
      <w:r>
        <w:rPr>
          <w:color w:val="000000"/>
        </w:rPr>
        <w:t>, etc.), as well as results stemming from EU-supported research projects, where applicable.</w:t>
      </w:r>
    </w:p>
    <w:p w14:paraId="61F1EDB8" w14:textId="77777777" w:rsidR="00056AEE" w:rsidRDefault="00A00CB7" w:rsidP="003A38F8">
      <w:pPr>
        <w:pStyle w:val="Paragraphedeliste"/>
        <w:numPr>
          <w:ilvl w:val="0"/>
          <w:numId w:val="19"/>
        </w:numPr>
      </w:pPr>
      <w:r>
        <w:rPr>
          <w:color w:val="000000"/>
        </w:rPr>
        <w:t xml:space="preserve">Engage with national public health authorities and regulators to ensure a robust development pathway and further uptake of the intervention. </w:t>
      </w:r>
    </w:p>
    <w:p w14:paraId="1939A947" w14:textId="77777777" w:rsidR="00056AEE" w:rsidRDefault="00A00CB7">
      <w:r>
        <w:rPr>
          <w:color w:val="000000"/>
        </w:rPr>
        <w:t xml:space="preserve">The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541FBED1" w14:textId="77777777" w:rsidR="00056AEE" w:rsidRDefault="00A00CB7">
      <w:r>
        <w:rPr>
          <w:color w:val="000000"/>
        </w:rPr>
        <w:t>All proposals funded under this topic are strongly encouraged to participate in networking and joint activities, as appropriate. Therefore, 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p w14:paraId="60E83057"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46936055" w14:textId="77777777" w:rsidR="00056AEE" w:rsidRDefault="00A00CB7">
      <w:pPr>
        <w:pStyle w:val="HeadingThree"/>
      </w:pPr>
      <w:bookmarkStart w:id="17" w:name="_Toc171689864"/>
      <w:r>
        <w:t>HORIZON-HLTH-2025-01-DISEASE-03: Development of antibodies and antibody-derived proteins for the prevention and treatment of infectious diseases with epidemic potential</w:t>
      </w:r>
      <w:bookmarkEnd w:id="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7"/>
        <w:gridCol w:w="7085"/>
      </w:tblGrid>
      <w:tr w:rsidR="003A38F8" w14:paraId="267ACFB4" w14:textId="77777777" w:rsidTr="003A38F8">
        <w:tc>
          <w:tcPr>
            <w:tcW w:w="0" w:type="auto"/>
            <w:gridSpan w:val="2"/>
          </w:tcPr>
          <w:p w14:paraId="1EE377D8" w14:textId="77777777" w:rsidR="00056AEE" w:rsidRDefault="00A00CB7">
            <w:pPr>
              <w:pStyle w:val="CellTextValue"/>
            </w:pPr>
            <w:r>
              <w:rPr>
                <w:b/>
              </w:rPr>
              <w:t>Call: Cluster 1 - Health (Single stage - 2025)</w:t>
            </w:r>
          </w:p>
        </w:tc>
      </w:tr>
      <w:tr w:rsidR="003A38F8" w14:paraId="282DE8F2" w14:textId="77777777" w:rsidTr="003A38F8">
        <w:tc>
          <w:tcPr>
            <w:tcW w:w="0" w:type="auto"/>
            <w:gridSpan w:val="2"/>
          </w:tcPr>
          <w:p w14:paraId="507F003C" w14:textId="77777777" w:rsidR="00056AEE" w:rsidRDefault="00A00CB7">
            <w:pPr>
              <w:pStyle w:val="CellTextValue"/>
            </w:pPr>
            <w:r>
              <w:rPr>
                <w:b/>
              </w:rPr>
              <w:t>Specific conditions</w:t>
            </w:r>
          </w:p>
        </w:tc>
      </w:tr>
      <w:tr w:rsidR="00056AEE" w14:paraId="42AD251C" w14:textId="77777777">
        <w:tc>
          <w:tcPr>
            <w:tcW w:w="0" w:type="auto"/>
          </w:tcPr>
          <w:p w14:paraId="044E6289" w14:textId="77777777" w:rsidR="00056AEE" w:rsidRDefault="00A00CB7">
            <w:pPr>
              <w:pStyle w:val="CellTextValue"/>
              <w:jc w:val="left"/>
            </w:pPr>
            <w:r>
              <w:rPr>
                <w:i/>
              </w:rPr>
              <w:t>Expected EU contribution per project</w:t>
            </w:r>
          </w:p>
        </w:tc>
        <w:tc>
          <w:tcPr>
            <w:tcW w:w="0" w:type="auto"/>
          </w:tcPr>
          <w:p w14:paraId="4E26D458" w14:textId="77777777" w:rsidR="00056AEE" w:rsidRDefault="00A00CB7">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056AEE" w14:paraId="6DAAA7B3" w14:textId="77777777">
        <w:tc>
          <w:tcPr>
            <w:tcW w:w="0" w:type="auto"/>
          </w:tcPr>
          <w:p w14:paraId="077587A8" w14:textId="77777777" w:rsidR="00056AEE" w:rsidRDefault="00A00CB7">
            <w:pPr>
              <w:pStyle w:val="CellTextValue"/>
              <w:jc w:val="left"/>
            </w:pPr>
            <w:r>
              <w:rPr>
                <w:i/>
              </w:rPr>
              <w:t>Indicative budget</w:t>
            </w:r>
          </w:p>
        </w:tc>
        <w:tc>
          <w:tcPr>
            <w:tcW w:w="0" w:type="auto"/>
          </w:tcPr>
          <w:p w14:paraId="42E1DB66" w14:textId="77777777" w:rsidR="00056AEE" w:rsidRDefault="00A00CB7">
            <w:pPr>
              <w:pStyle w:val="CellTextValue"/>
            </w:pPr>
            <w:r>
              <w:t>The total indicative budget for the topic is EUR 50.00 million.</w:t>
            </w:r>
          </w:p>
        </w:tc>
      </w:tr>
      <w:tr w:rsidR="00056AEE" w14:paraId="70B7C13C" w14:textId="77777777">
        <w:tc>
          <w:tcPr>
            <w:tcW w:w="0" w:type="auto"/>
          </w:tcPr>
          <w:p w14:paraId="46F08174" w14:textId="77777777" w:rsidR="00056AEE" w:rsidRDefault="00A00CB7">
            <w:pPr>
              <w:pStyle w:val="CellTextValue"/>
              <w:jc w:val="left"/>
            </w:pPr>
            <w:r>
              <w:rPr>
                <w:i/>
              </w:rPr>
              <w:lastRenderedPageBreak/>
              <w:t>Type of Action</w:t>
            </w:r>
          </w:p>
        </w:tc>
        <w:tc>
          <w:tcPr>
            <w:tcW w:w="0" w:type="auto"/>
          </w:tcPr>
          <w:p w14:paraId="13A309B3" w14:textId="77777777" w:rsidR="00056AEE" w:rsidRDefault="00A00CB7">
            <w:pPr>
              <w:pStyle w:val="CellTextValue"/>
            </w:pPr>
            <w:r>
              <w:rPr>
                <w:color w:val="000000"/>
              </w:rPr>
              <w:t>Research and Innovation Actions</w:t>
            </w:r>
          </w:p>
        </w:tc>
      </w:tr>
      <w:tr w:rsidR="00056AEE" w14:paraId="08369974" w14:textId="77777777">
        <w:tc>
          <w:tcPr>
            <w:tcW w:w="0" w:type="auto"/>
          </w:tcPr>
          <w:p w14:paraId="547D1740" w14:textId="77777777" w:rsidR="00056AEE" w:rsidRDefault="00A00CB7">
            <w:pPr>
              <w:pStyle w:val="CellTextValue"/>
              <w:jc w:val="left"/>
            </w:pPr>
            <w:r>
              <w:rPr>
                <w:i/>
              </w:rPr>
              <w:t>Eligibility conditions</w:t>
            </w:r>
          </w:p>
        </w:tc>
        <w:tc>
          <w:tcPr>
            <w:tcW w:w="0" w:type="auto"/>
          </w:tcPr>
          <w:p w14:paraId="5DF1E736" w14:textId="77777777" w:rsidR="00056AEE" w:rsidRDefault="00A00CB7">
            <w:pPr>
              <w:pStyle w:val="CellTextValue"/>
            </w:pPr>
            <w:r>
              <w:rPr>
                <w:color w:val="000000"/>
              </w:rPr>
              <w:t>The conditions are described in General Annex B. The following exceptions apply:</w:t>
            </w:r>
          </w:p>
          <w:p w14:paraId="243FF137"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4415825A"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tc>
      </w:tr>
      <w:tr w:rsidR="00056AEE" w14:paraId="0B6B8A76" w14:textId="77777777">
        <w:tc>
          <w:tcPr>
            <w:tcW w:w="0" w:type="auto"/>
          </w:tcPr>
          <w:p w14:paraId="31A9BA0E" w14:textId="77777777" w:rsidR="00056AEE" w:rsidRDefault="00A00CB7">
            <w:pPr>
              <w:pStyle w:val="CellTextValue"/>
              <w:jc w:val="left"/>
            </w:pPr>
            <w:r>
              <w:rPr>
                <w:i/>
              </w:rPr>
              <w:t>Award criteria</w:t>
            </w:r>
          </w:p>
        </w:tc>
        <w:tc>
          <w:tcPr>
            <w:tcW w:w="0" w:type="auto"/>
          </w:tcPr>
          <w:p w14:paraId="5753666E" w14:textId="77777777" w:rsidR="00056AEE" w:rsidRDefault="00A00CB7">
            <w:pPr>
              <w:pStyle w:val="CellTextValue"/>
            </w:pPr>
            <w:r>
              <w:rPr>
                <w:color w:val="000000"/>
              </w:rPr>
              <w:t>The criteria are described in General Annex D. The following exceptions apply:</w:t>
            </w:r>
          </w:p>
          <w:p w14:paraId="358D5E68" w14:textId="77777777" w:rsidR="00056AEE" w:rsidRDefault="00A00CB7">
            <w:pPr>
              <w:pStyle w:val="CellTextValue"/>
            </w:pPr>
            <w:r>
              <w:rPr>
                <w:color w:val="000000"/>
              </w:rPr>
              <w:t>The thresholds for each criterion will be 4 (Excellence), 4 (Impact) and 4 (Implementation). The cumulative threshold will be 12.</w:t>
            </w:r>
          </w:p>
        </w:tc>
      </w:tr>
    </w:tbl>
    <w:p w14:paraId="37AB79B4" w14:textId="77777777" w:rsidR="00056AEE" w:rsidRDefault="00056AEE">
      <w:pPr>
        <w:spacing w:after="0" w:line="150" w:lineRule="auto"/>
      </w:pPr>
    </w:p>
    <w:p w14:paraId="4868C801"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76CDB17E" w14:textId="77777777" w:rsidR="00056AEE" w:rsidRDefault="00A00CB7" w:rsidP="003A38F8">
      <w:pPr>
        <w:pStyle w:val="Paragraphedeliste"/>
        <w:numPr>
          <w:ilvl w:val="0"/>
          <w:numId w:val="20"/>
        </w:numPr>
      </w:pPr>
      <w:r>
        <w:rPr>
          <w:color w:val="000000"/>
        </w:rPr>
        <w:t>The scientific and clinical communities have an increased knowledge on viruses with epidemic potential, and particularly a better understanding of prophylactic and treatment options complementary to low molecular weight antiviral therapeutics for these viruses.</w:t>
      </w:r>
    </w:p>
    <w:p w14:paraId="4C1F1487" w14:textId="77777777" w:rsidR="00056AEE" w:rsidRDefault="00A00CB7" w:rsidP="003A38F8">
      <w:pPr>
        <w:pStyle w:val="Paragraphedeliste"/>
        <w:numPr>
          <w:ilvl w:val="0"/>
          <w:numId w:val="20"/>
        </w:numPr>
      </w:pPr>
      <w:r>
        <w:rPr>
          <w:color w:val="000000"/>
        </w:rPr>
        <w:t>The scientific and clinical communities have access to experimental antibodies and antibody-derived proteins for the prevention and treatment of emerging or re-emerging viral infections, as well as for further clinical investigation.</w:t>
      </w:r>
    </w:p>
    <w:p w14:paraId="5F634C4B" w14:textId="77777777" w:rsidR="00056AEE" w:rsidRDefault="00A00CB7" w:rsidP="003A38F8">
      <w:pPr>
        <w:pStyle w:val="Paragraphedeliste"/>
        <w:numPr>
          <w:ilvl w:val="0"/>
          <w:numId w:val="20"/>
        </w:numPr>
      </w:pPr>
      <w:r>
        <w:rPr>
          <w:color w:val="000000"/>
        </w:rPr>
        <w:t xml:space="preserve">A diverse and robust pipeline of broad-spectrum antiviral therapies is available for emerging and re-emerging viral infections, increasing therapeutic options for clinical deployment in case of an epidemic or pandemic. </w:t>
      </w:r>
    </w:p>
    <w:p w14:paraId="7F72BD7F" w14:textId="77777777" w:rsidR="00056AEE" w:rsidRDefault="00A00CB7">
      <w:r>
        <w:rPr>
          <w:u w:val="single"/>
        </w:rPr>
        <w:t>Scope</w:t>
      </w:r>
      <w:r>
        <w:t xml:space="preserve">: </w:t>
      </w:r>
      <w:r>
        <w:rPr>
          <w:color w:val="000000"/>
        </w:rPr>
        <w:t>As shown by the COVID-19 pandemic, infectious diseases remain a major threat to health and health security in the EU and globally. Viral disease emergence is expected to accelerate due to among other, climate change, and thus a proactive approach to the development of antiviral therapeutics in preparedness for future infectious disease outbreaks is needed. The availability of antibodies and antibody-derived proteins would provide a critical preparedness measure against future health threats, due to infectious disease epidemics or pandemics.</w:t>
      </w:r>
    </w:p>
    <w:p w14:paraId="6FDCB2AF" w14:textId="77777777" w:rsidR="00056AEE" w:rsidRDefault="00A00CB7">
      <w:r>
        <w:rPr>
          <w:color w:val="000000"/>
        </w:rPr>
        <w:t>Proposals should further develop existing candidates for antiviral therapeutics that are based on antibody and antibody-derived proteins targeting at least one of the priority viruses of the following virus families:</w:t>
      </w:r>
    </w:p>
    <w:p w14:paraId="00BFE607" w14:textId="77777777" w:rsidR="00056AEE" w:rsidRDefault="00A00CB7" w:rsidP="003A38F8">
      <w:pPr>
        <w:pStyle w:val="Paragraphedeliste"/>
        <w:numPr>
          <w:ilvl w:val="0"/>
          <w:numId w:val="21"/>
        </w:numPr>
      </w:pPr>
      <w:proofErr w:type="spellStart"/>
      <w:r>
        <w:rPr>
          <w:color w:val="000000"/>
        </w:rPr>
        <w:lastRenderedPageBreak/>
        <w:t>Arenaviridae</w:t>
      </w:r>
      <w:proofErr w:type="spellEnd"/>
      <w:r>
        <w:rPr>
          <w:color w:val="000000"/>
        </w:rPr>
        <w:t xml:space="preserve">: </w:t>
      </w:r>
      <w:proofErr w:type="spellStart"/>
      <w:r>
        <w:rPr>
          <w:color w:val="000000"/>
        </w:rPr>
        <w:t>Junin</w:t>
      </w:r>
      <w:proofErr w:type="spellEnd"/>
      <w:r>
        <w:rPr>
          <w:color w:val="000000"/>
        </w:rPr>
        <w:t xml:space="preserve"> </w:t>
      </w:r>
      <w:proofErr w:type="spellStart"/>
      <w:r>
        <w:rPr>
          <w:color w:val="000000"/>
        </w:rPr>
        <w:t>mammarenavirus</w:t>
      </w:r>
      <w:proofErr w:type="spellEnd"/>
      <w:r>
        <w:rPr>
          <w:color w:val="000000"/>
        </w:rPr>
        <w:t xml:space="preserve">, Lassa </w:t>
      </w:r>
      <w:proofErr w:type="spellStart"/>
      <w:r>
        <w:rPr>
          <w:color w:val="000000"/>
        </w:rPr>
        <w:t>mammarenavirus</w:t>
      </w:r>
      <w:proofErr w:type="spellEnd"/>
    </w:p>
    <w:p w14:paraId="5CE85729" w14:textId="77777777" w:rsidR="00056AEE" w:rsidRPr="006372DB" w:rsidRDefault="00A00CB7" w:rsidP="003A38F8">
      <w:pPr>
        <w:pStyle w:val="Paragraphedeliste"/>
        <w:numPr>
          <w:ilvl w:val="0"/>
          <w:numId w:val="21"/>
        </w:numPr>
        <w:rPr>
          <w:lang w:val="fr-FR"/>
        </w:rPr>
      </w:pPr>
      <w:proofErr w:type="gramStart"/>
      <w:r w:rsidRPr="006372DB">
        <w:rPr>
          <w:color w:val="000000"/>
          <w:lang w:val="fr-FR"/>
        </w:rPr>
        <w:t>Bunyaviridae:</w:t>
      </w:r>
      <w:proofErr w:type="gramEnd"/>
      <w:r w:rsidRPr="006372DB">
        <w:rPr>
          <w:color w:val="000000"/>
          <w:lang w:val="fr-FR"/>
        </w:rPr>
        <w:t xml:space="preserve"> Hantaan, Andes, Sin Nombre virus</w:t>
      </w:r>
    </w:p>
    <w:p w14:paraId="586497B6" w14:textId="77777777" w:rsidR="00056AEE" w:rsidRDefault="00A00CB7" w:rsidP="003A38F8">
      <w:pPr>
        <w:pStyle w:val="Paragraphedeliste"/>
        <w:numPr>
          <w:ilvl w:val="0"/>
          <w:numId w:val="21"/>
        </w:numPr>
      </w:pPr>
      <w:r>
        <w:rPr>
          <w:color w:val="000000"/>
        </w:rPr>
        <w:t>Poxviridae: Variola major</w:t>
      </w:r>
    </w:p>
    <w:p w14:paraId="261D01ED" w14:textId="77777777" w:rsidR="00056AEE" w:rsidRDefault="00A00CB7" w:rsidP="003A38F8">
      <w:pPr>
        <w:pStyle w:val="Paragraphedeliste"/>
        <w:numPr>
          <w:ilvl w:val="0"/>
          <w:numId w:val="21"/>
        </w:numPr>
      </w:pPr>
      <w:proofErr w:type="spellStart"/>
      <w:r>
        <w:rPr>
          <w:color w:val="000000"/>
        </w:rPr>
        <w:t>Paramyxo</w:t>
      </w:r>
      <w:proofErr w:type="spellEnd"/>
      <w:r>
        <w:rPr>
          <w:color w:val="000000"/>
        </w:rPr>
        <w:t>: Hendra, Nipah virus</w:t>
      </w:r>
    </w:p>
    <w:p w14:paraId="41DFAEA6" w14:textId="77777777" w:rsidR="00056AEE" w:rsidRDefault="00A00CB7" w:rsidP="003A38F8">
      <w:pPr>
        <w:pStyle w:val="Paragraphedeliste"/>
        <w:numPr>
          <w:ilvl w:val="0"/>
          <w:numId w:val="21"/>
        </w:numPr>
      </w:pPr>
      <w:proofErr w:type="spellStart"/>
      <w:r>
        <w:rPr>
          <w:color w:val="000000"/>
        </w:rPr>
        <w:t>Togaviridae</w:t>
      </w:r>
      <w:proofErr w:type="spellEnd"/>
      <w:r>
        <w:rPr>
          <w:color w:val="000000"/>
        </w:rPr>
        <w:t xml:space="preserve">: Venezuelan equine encephalitis virus </w:t>
      </w:r>
    </w:p>
    <w:p w14:paraId="3D3BF012" w14:textId="77777777" w:rsidR="00056AEE" w:rsidRDefault="00A00CB7">
      <w:r>
        <w:rPr>
          <w:color w:val="000000"/>
        </w:rPr>
        <w:t>Proposals are expected to conduct preclinical studies of antibodies and antibody-derived proteins, prepare Good Manufacturing Practice (GMP)</w:t>
      </w:r>
      <w:r>
        <w:rPr>
          <w:vertAlign w:val="superscript"/>
        </w:rPr>
        <w:footnoteReference w:id="82"/>
      </w:r>
      <w:r>
        <w:rPr>
          <w:color w:val="000000"/>
        </w:rPr>
        <w:t xml:space="preserve"> quality test batches and carry out first in human clinical safety studies. The goal of proposals should be to make available a toolbox of antibodies and antibody-derived therapeutics for each virus family that can be used for the further adaptation in case of an epidemic caused by a pathogen from these virus families. Proposals should also develop platform technologies to quickly adapt and produce antibodies and antibody-derived therapeutics at large scale.</w:t>
      </w:r>
    </w:p>
    <w:p w14:paraId="3F75AD3E" w14:textId="77777777" w:rsidR="00056AEE" w:rsidRDefault="00A00CB7">
      <w:r>
        <w:rPr>
          <w:color w:val="000000"/>
        </w:rPr>
        <w:t>Proposals should aim to diversify and accelerate the global therapeutic research and development pipeline for emerging and re-emerging viral infections, and to strengthen the leading role of the EU in therapeutic research and development.</w:t>
      </w:r>
    </w:p>
    <w:p w14:paraId="20840109" w14:textId="77777777" w:rsidR="00056AEE" w:rsidRDefault="00A00CB7">
      <w:r>
        <w:rPr>
          <w:color w:val="000000"/>
        </w:rPr>
        <w:t>Proposals may focus either on antibody or on antibody-derived proteins.</w:t>
      </w:r>
    </w:p>
    <w:p w14:paraId="03288420" w14:textId="77777777" w:rsidR="00056AEE" w:rsidRDefault="00A00CB7">
      <w:r>
        <w:rPr>
          <w:color w:val="000000"/>
        </w:rPr>
        <w:t>Proposals should address all the following areas:</w:t>
      </w:r>
    </w:p>
    <w:p w14:paraId="44616889" w14:textId="77777777" w:rsidR="00056AEE" w:rsidRDefault="00A00CB7" w:rsidP="003A38F8">
      <w:pPr>
        <w:pStyle w:val="Paragraphedeliste"/>
        <w:numPr>
          <w:ilvl w:val="0"/>
          <w:numId w:val="22"/>
        </w:numPr>
      </w:pPr>
      <w:r>
        <w:rPr>
          <w:color w:val="000000"/>
        </w:rPr>
        <w:t xml:space="preserve">If necessary, finalization of the in vitro characterisation of the antibodies and antibody-derived proteins </w:t>
      </w:r>
      <w:proofErr w:type="gramStart"/>
      <w:r>
        <w:rPr>
          <w:color w:val="000000"/>
        </w:rPr>
        <w:t>with regard to</w:t>
      </w:r>
      <w:proofErr w:type="gramEnd"/>
      <w:r>
        <w:rPr>
          <w:color w:val="000000"/>
        </w:rPr>
        <w:t xml:space="preserve"> target specificity, epitope recognised, where possible, and their ability to impair or inactivate viral functions.</w:t>
      </w:r>
    </w:p>
    <w:p w14:paraId="67F4305A" w14:textId="77777777" w:rsidR="00056AEE" w:rsidRDefault="00A00CB7" w:rsidP="003A38F8">
      <w:pPr>
        <w:pStyle w:val="Paragraphedeliste"/>
        <w:numPr>
          <w:ilvl w:val="0"/>
          <w:numId w:val="22"/>
        </w:numPr>
      </w:pPr>
      <w:r>
        <w:rPr>
          <w:color w:val="000000"/>
        </w:rPr>
        <w:t>In vivo tests in at least one animal model or, if available and deemed sufficient, in humanised immune system animal models, to demonstrate the protective function of the antibodies and antibody-derived therapeutics.</w:t>
      </w:r>
    </w:p>
    <w:p w14:paraId="1DEFE2B6" w14:textId="77777777" w:rsidR="00056AEE" w:rsidRDefault="00A00CB7" w:rsidP="003A38F8">
      <w:pPr>
        <w:pStyle w:val="Paragraphedeliste"/>
        <w:numPr>
          <w:ilvl w:val="0"/>
          <w:numId w:val="22"/>
        </w:numPr>
      </w:pPr>
      <w:r>
        <w:rPr>
          <w:color w:val="000000"/>
        </w:rPr>
        <w:t>If requested by regulators as enablers for clinical studies, in vivo tests in a non-human primate model.</w:t>
      </w:r>
    </w:p>
    <w:p w14:paraId="16D916D1" w14:textId="77777777" w:rsidR="00056AEE" w:rsidRDefault="00A00CB7" w:rsidP="003A38F8">
      <w:pPr>
        <w:pStyle w:val="Paragraphedeliste"/>
        <w:numPr>
          <w:ilvl w:val="0"/>
          <w:numId w:val="22"/>
        </w:numPr>
      </w:pPr>
      <w:r>
        <w:rPr>
          <w:color w:val="000000"/>
        </w:rPr>
        <w:t>Production of GMP quality test batches of the most promising candidates for antibodies and antibody-derived proteins.</w:t>
      </w:r>
    </w:p>
    <w:p w14:paraId="214D1A55" w14:textId="77777777" w:rsidR="00056AEE" w:rsidRDefault="00A00CB7" w:rsidP="003A38F8">
      <w:pPr>
        <w:pStyle w:val="Paragraphedeliste"/>
        <w:numPr>
          <w:ilvl w:val="0"/>
          <w:numId w:val="22"/>
        </w:numPr>
      </w:pPr>
      <w:r>
        <w:rPr>
          <w:color w:val="000000"/>
        </w:rPr>
        <w:t xml:space="preserve">First in human clinical safety studies of the antibody and antibody-derived proteins, demonstrating a clear regulatory pathway for market authorisation. Attention should be paid to critical social factors such as sex, age, ethnicity and disability. </w:t>
      </w:r>
    </w:p>
    <w:p w14:paraId="25F7F085" w14:textId="77777777" w:rsidR="00056AEE" w:rsidRDefault="00A00CB7">
      <w:r>
        <w:rPr>
          <w:color w:val="000000"/>
        </w:rPr>
        <w:t>Participation of third countries where viruses addressed in the proposal are endemic or where outbreaks have occurred or are ongoing is encouraged.</w:t>
      </w:r>
    </w:p>
    <w:p w14:paraId="33D2D64A" w14:textId="77777777" w:rsidR="00056AEE" w:rsidRDefault="00A00CB7">
      <w:r>
        <w:rPr>
          <w:color w:val="000000"/>
        </w:rPr>
        <w:lastRenderedPageBreak/>
        <w:t>Applicants are expected to engage with regulatory bodies in a timely manner to ensure adequacy of the actions from a regulatory point of view.</w:t>
      </w:r>
    </w:p>
    <w:p w14:paraId="3A73A2A9"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0133F5B4" w14:textId="77777777" w:rsidR="00056AEE" w:rsidRDefault="00A00CB7">
      <w:pPr>
        <w:pStyle w:val="HeadingThree"/>
      </w:pPr>
      <w:bookmarkStart w:id="18" w:name="_Toc171689865"/>
      <w:r>
        <w:t>HORIZON-HLTH-2025-01-DISEASE-04: Leveraging artificial intelligence for pandemic preparedness and response</w:t>
      </w:r>
      <w:bookmarkEnd w:id="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3A38F8" w14:paraId="448AFBCA" w14:textId="77777777" w:rsidTr="003A38F8">
        <w:tc>
          <w:tcPr>
            <w:tcW w:w="0" w:type="auto"/>
            <w:gridSpan w:val="2"/>
          </w:tcPr>
          <w:p w14:paraId="4165B8BB" w14:textId="77777777" w:rsidR="00056AEE" w:rsidRDefault="00A00CB7">
            <w:pPr>
              <w:pStyle w:val="CellTextValue"/>
            </w:pPr>
            <w:r>
              <w:rPr>
                <w:b/>
              </w:rPr>
              <w:t>Call: Cluster 1 - Health (Single stage - 2025)</w:t>
            </w:r>
          </w:p>
        </w:tc>
      </w:tr>
      <w:tr w:rsidR="003A38F8" w14:paraId="07DF31E1" w14:textId="77777777" w:rsidTr="003A38F8">
        <w:tc>
          <w:tcPr>
            <w:tcW w:w="0" w:type="auto"/>
            <w:gridSpan w:val="2"/>
          </w:tcPr>
          <w:p w14:paraId="22EA4AA1" w14:textId="77777777" w:rsidR="00056AEE" w:rsidRDefault="00A00CB7">
            <w:pPr>
              <w:pStyle w:val="CellTextValue"/>
            </w:pPr>
            <w:r>
              <w:rPr>
                <w:b/>
              </w:rPr>
              <w:t>Specific conditions</w:t>
            </w:r>
          </w:p>
        </w:tc>
      </w:tr>
      <w:tr w:rsidR="00056AEE" w14:paraId="5249B044" w14:textId="77777777">
        <w:tc>
          <w:tcPr>
            <w:tcW w:w="0" w:type="auto"/>
          </w:tcPr>
          <w:p w14:paraId="188940FC" w14:textId="77777777" w:rsidR="00056AEE" w:rsidRDefault="00A00CB7">
            <w:pPr>
              <w:pStyle w:val="CellTextValue"/>
              <w:jc w:val="left"/>
            </w:pPr>
            <w:r>
              <w:rPr>
                <w:i/>
              </w:rPr>
              <w:t>Expected EU contribution per project</w:t>
            </w:r>
          </w:p>
        </w:tc>
        <w:tc>
          <w:tcPr>
            <w:tcW w:w="0" w:type="auto"/>
          </w:tcPr>
          <w:p w14:paraId="648EB885" w14:textId="77777777" w:rsidR="00056AEE" w:rsidRDefault="00A00CB7">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056AEE" w14:paraId="1CCBF7FB" w14:textId="77777777">
        <w:tc>
          <w:tcPr>
            <w:tcW w:w="0" w:type="auto"/>
          </w:tcPr>
          <w:p w14:paraId="6FFBF465" w14:textId="77777777" w:rsidR="00056AEE" w:rsidRDefault="00A00CB7">
            <w:pPr>
              <w:pStyle w:val="CellTextValue"/>
              <w:jc w:val="left"/>
            </w:pPr>
            <w:r>
              <w:rPr>
                <w:i/>
              </w:rPr>
              <w:t>Indicative budget</w:t>
            </w:r>
          </w:p>
        </w:tc>
        <w:tc>
          <w:tcPr>
            <w:tcW w:w="0" w:type="auto"/>
          </w:tcPr>
          <w:p w14:paraId="2FDBC2C6" w14:textId="77777777" w:rsidR="00056AEE" w:rsidRDefault="00A00CB7">
            <w:pPr>
              <w:pStyle w:val="CellTextValue"/>
            </w:pPr>
            <w:r>
              <w:t>The total indicative budget for the topic is EUR 35.00 million.</w:t>
            </w:r>
          </w:p>
        </w:tc>
      </w:tr>
      <w:tr w:rsidR="00056AEE" w14:paraId="7A598D5B" w14:textId="77777777">
        <w:tc>
          <w:tcPr>
            <w:tcW w:w="0" w:type="auto"/>
          </w:tcPr>
          <w:p w14:paraId="57F507B0" w14:textId="77777777" w:rsidR="00056AEE" w:rsidRDefault="00A00CB7">
            <w:pPr>
              <w:pStyle w:val="CellTextValue"/>
              <w:jc w:val="left"/>
            </w:pPr>
            <w:r>
              <w:rPr>
                <w:i/>
              </w:rPr>
              <w:t>Type of Action</w:t>
            </w:r>
          </w:p>
        </w:tc>
        <w:tc>
          <w:tcPr>
            <w:tcW w:w="0" w:type="auto"/>
          </w:tcPr>
          <w:p w14:paraId="6E34CAEB" w14:textId="77777777" w:rsidR="00056AEE" w:rsidRDefault="00A00CB7">
            <w:pPr>
              <w:pStyle w:val="CellTextValue"/>
            </w:pPr>
            <w:r>
              <w:rPr>
                <w:color w:val="000000"/>
              </w:rPr>
              <w:t>Research and Innovation Actions</w:t>
            </w:r>
          </w:p>
        </w:tc>
      </w:tr>
      <w:tr w:rsidR="00056AEE" w14:paraId="0E30CC8D" w14:textId="77777777">
        <w:tc>
          <w:tcPr>
            <w:tcW w:w="0" w:type="auto"/>
          </w:tcPr>
          <w:p w14:paraId="5890E327" w14:textId="77777777" w:rsidR="00056AEE" w:rsidRDefault="00A00CB7">
            <w:pPr>
              <w:pStyle w:val="CellTextValue"/>
              <w:jc w:val="left"/>
            </w:pPr>
            <w:r>
              <w:rPr>
                <w:i/>
              </w:rPr>
              <w:t>Eligibility conditions</w:t>
            </w:r>
          </w:p>
        </w:tc>
        <w:tc>
          <w:tcPr>
            <w:tcW w:w="0" w:type="auto"/>
          </w:tcPr>
          <w:p w14:paraId="49673C30" w14:textId="77777777" w:rsidR="00056AEE" w:rsidRDefault="00A00CB7">
            <w:pPr>
              <w:pStyle w:val="CellTextValue"/>
            </w:pPr>
            <w:r>
              <w:rPr>
                <w:color w:val="000000"/>
              </w:rPr>
              <w:t>The conditions are described in General Annex B. The following exceptions apply:</w:t>
            </w:r>
          </w:p>
          <w:p w14:paraId="187CE24B"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A021D75"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tc>
      </w:tr>
      <w:tr w:rsidR="00056AEE" w14:paraId="17BB205A" w14:textId="77777777">
        <w:tc>
          <w:tcPr>
            <w:tcW w:w="0" w:type="auto"/>
          </w:tcPr>
          <w:p w14:paraId="0123F5CC" w14:textId="77777777" w:rsidR="00056AEE" w:rsidRDefault="00A00CB7">
            <w:pPr>
              <w:pStyle w:val="CellTextValue"/>
              <w:jc w:val="left"/>
            </w:pPr>
            <w:r>
              <w:rPr>
                <w:i/>
              </w:rPr>
              <w:t>Award criteria</w:t>
            </w:r>
          </w:p>
        </w:tc>
        <w:tc>
          <w:tcPr>
            <w:tcW w:w="0" w:type="auto"/>
          </w:tcPr>
          <w:p w14:paraId="5B994BE7" w14:textId="77777777" w:rsidR="00056AEE" w:rsidRDefault="00A00CB7">
            <w:pPr>
              <w:pStyle w:val="CellTextValue"/>
            </w:pPr>
            <w:r>
              <w:rPr>
                <w:color w:val="000000"/>
              </w:rPr>
              <w:t>The criteria are described in General Annex D. The following exceptions apply:</w:t>
            </w:r>
          </w:p>
          <w:p w14:paraId="2301D0FC" w14:textId="77777777" w:rsidR="00056AEE" w:rsidRDefault="00A00CB7">
            <w:pPr>
              <w:pStyle w:val="CellTextValue"/>
            </w:pPr>
            <w:r>
              <w:rPr>
                <w:color w:val="000000"/>
              </w:rPr>
              <w:t>The thresholds for each criterion will be 4 (Excellence), 4 (Impact) and 4 (Implementation). The cumulative threshold will be 12.</w:t>
            </w:r>
          </w:p>
        </w:tc>
      </w:tr>
    </w:tbl>
    <w:p w14:paraId="00D4D725" w14:textId="77777777" w:rsidR="00056AEE" w:rsidRDefault="00056AEE">
      <w:pPr>
        <w:spacing w:after="0" w:line="150" w:lineRule="auto"/>
      </w:pPr>
    </w:p>
    <w:p w14:paraId="004E4DA2"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5704F341" w14:textId="77777777" w:rsidR="00056AEE" w:rsidRDefault="00A00CB7" w:rsidP="003A38F8">
      <w:pPr>
        <w:pStyle w:val="Paragraphedeliste"/>
        <w:numPr>
          <w:ilvl w:val="0"/>
          <w:numId w:val="23"/>
        </w:numPr>
      </w:pPr>
      <w:r>
        <w:rPr>
          <w:color w:val="000000"/>
        </w:rPr>
        <w:t xml:space="preserve">The potential of Artificial Intelligence (AI) is used in all aspects that determine optimal pandemic preparedness and response, and fast learning systems are supported, to the benefit of scientists, public health responders and policymakers. This includes using the </w:t>
      </w:r>
      <w:r>
        <w:rPr>
          <w:color w:val="000000"/>
        </w:rPr>
        <w:lastRenderedPageBreak/>
        <w:t>full potential of available quality data for research and innovation to transform the development of medical countermeasures, as well as the detection, management and monitoring of emergencies at population levels, and the diagnosis, treatment, and prevention at the level of individuals.</w:t>
      </w:r>
    </w:p>
    <w:p w14:paraId="73F4DAD0" w14:textId="77777777" w:rsidR="00056AEE" w:rsidRDefault="00A00CB7" w:rsidP="003A38F8">
      <w:pPr>
        <w:pStyle w:val="Paragraphedeliste"/>
        <w:numPr>
          <w:ilvl w:val="0"/>
          <w:numId w:val="23"/>
        </w:numPr>
      </w:pPr>
      <w:r>
        <w:rPr>
          <w:color w:val="000000"/>
        </w:rPr>
        <w:t>European pandemic preparedness and response benefits from readily available and bias-free AI-based tools and technologies that enable it to act fast and in a targeted manner, to timely detect and understand emerging infectious threats, to respond adequately and proportionally to identified threats, and to control such threats effectively and efficiently.</w:t>
      </w:r>
    </w:p>
    <w:p w14:paraId="137B5BF8" w14:textId="77777777" w:rsidR="00056AEE" w:rsidRDefault="00A00CB7" w:rsidP="003A38F8">
      <w:pPr>
        <w:pStyle w:val="Paragraphedeliste"/>
        <w:numPr>
          <w:ilvl w:val="0"/>
          <w:numId w:val="23"/>
        </w:numPr>
      </w:pPr>
      <w:r>
        <w:rPr>
          <w:color w:val="000000"/>
        </w:rPr>
        <w:t xml:space="preserve">Different data types from multiple sources and disciplines across the EU and globally can be accessed, integrated and analysed by scientists, public health responders and policymakers, using bias-free AI-based tools and technologies that support pandemic preparedness and response. </w:t>
      </w:r>
    </w:p>
    <w:p w14:paraId="7E83FD0D" w14:textId="77777777" w:rsidR="00056AEE" w:rsidRDefault="00A00CB7">
      <w:r>
        <w:rPr>
          <w:u w:val="single"/>
        </w:rPr>
        <w:t>Scope</w:t>
      </w:r>
      <w:r>
        <w:t xml:space="preserve">: </w:t>
      </w:r>
      <w:r>
        <w:rPr>
          <w:color w:val="000000"/>
        </w:rPr>
        <w:t>The COVID-19 pandemic underscored the need of finding innovative approaches to pandemic preparedness and response, including digital solutions leveraging AI technologies. AI is a fast-developing field, holding an enormous potential in using the multitude of data from an equally vast range of sources, which should be used for improving preparedness and response to epidemics or pandemics in the EU and Associated Countries.</w:t>
      </w:r>
    </w:p>
    <w:p w14:paraId="288FD243" w14:textId="77777777" w:rsidR="00056AEE" w:rsidRDefault="00A00CB7">
      <w:r>
        <w:rPr>
          <w:color w:val="000000"/>
        </w:rPr>
        <w:t>Examples from the COVID-19 pandemic response illustrate how advanced AI tools can enable efficient data use to support areas like forecasting, infectious disease surveillance and monitoring, development of medical interventions, timely diagnosis of infection, disease prognosis, or real-time monitoring of adherence to public health recommendations. New technologies with potentially high impact like air or wastewater real-time monitoring systems have also emerged.</w:t>
      </w:r>
    </w:p>
    <w:p w14:paraId="3082159B" w14:textId="77777777" w:rsidR="00056AEE" w:rsidRDefault="00A00CB7">
      <w:r>
        <w:rPr>
          <w:color w:val="000000"/>
        </w:rPr>
        <w:t>These experiences and advances hold great potential for the future, but additional development and expansion of novel AI-based tools and technologies (including generative AI) is needed, while also further improving and testing existing ones. The use of AI on single datasets or models, as well as on combinations within and across disciplines, can greatly increase the accuracy of assessments and predictions of medical (pharmaceutical or non-pharmaceutical) interventions in preparedness for, and response to epidemics and pandemics.</w:t>
      </w:r>
    </w:p>
    <w:p w14:paraId="098396CE" w14:textId="77777777" w:rsidR="00056AEE" w:rsidRDefault="00A00CB7">
      <w:r>
        <w:rPr>
          <w:color w:val="000000"/>
        </w:rPr>
        <w:t>Research actions under this topic should include several of the following activities:</w:t>
      </w:r>
    </w:p>
    <w:p w14:paraId="183D18DB" w14:textId="77777777" w:rsidR="00056AEE" w:rsidRDefault="00A00CB7" w:rsidP="003A38F8">
      <w:pPr>
        <w:pStyle w:val="Paragraphedeliste"/>
        <w:numPr>
          <w:ilvl w:val="0"/>
          <w:numId w:val="24"/>
        </w:numPr>
      </w:pPr>
      <w:r>
        <w:rPr>
          <w:color w:val="000000"/>
        </w:rPr>
        <w:t>Develop new, or improve existing AI-based tools, methods and technologies, geared towards greater safety, efficiency and impact of medical, societal and/or logistical countermeasures aiming at the prevention, containment and/or control of infectious disease epidemics.</w:t>
      </w:r>
    </w:p>
    <w:p w14:paraId="7AEF4FFD" w14:textId="77777777" w:rsidR="00056AEE" w:rsidRDefault="00A00CB7" w:rsidP="003A38F8">
      <w:pPr>
        <w:pStyle w:val="Paragraphedeliste"/>
        <w:numPr>
          <w:ilvl w:val="0"/>
          <w:numId w:val="24"/>
        </w:numPr>
      </w:pPr>
      <w:r>
        <w:rPr>
          <w:color w:val="000000"/>
        </w:rPr>
        <w:t>Scout, assemble and prepare appropriate FAIR</w:t>
      </w:r>
      <w:r>
        <w:rPr>
          <w:vertAlign w:val="superscript"/>
        </w:rPr>
        <w:footnoteReference w:id="83"/>
      </w:r>
      <w:r>
        <w:rPr>
          <w:color w:val="000000"/>
        </w:rPr>
        <w:t xml:space="preserve"> datasets generated across the EU and Associated Countries (e.g. COVID-19, Influenza, etc.), for the development, training and testing of targeted AI-supported generative assessment and prediction tools, in support of </w:t>
      </w:r>
      <w:r>
        <w:rPr>
          <w:color w:val="000000"/>
        </w:rPr>
        <w:lastRenderedPageBreak/>
        <w:t>evidence-based policy and decision making for pandemic preparedness and response; in areas like surveillance and monitoring of infectious disease and disease dynamics, facilitating differential diagnosis, triage and risk group predictions, predicting drug response and disease progression, etc.</w:t>
      </w:r>
    </w:p>
    <w:p w14:paraId="49DC9339" w14:textId="77777777" w:rsidR="00056AEE" w:rsidRDefault="00A00CB7" w:rsidP="003A38F8">
      <w:pPr>
        <w:pStyle w:val="Paragraphedeliste"/>
        <w:numPr>
          <w:ilvl w:val="0"/>
          <w:numId w:val="24"/>
        </w:numPr>
      </w:pPr>
      <w:r>
        <w:rPr>
          <w:color w:val="000000"/>
        </w:rPr>
        <w:t>Leverage the capacities of the existing and emerging data research infrastructures and the future European Health Data Space (EHDS)</w:t>
      </w:r>
      <w:r>
        <w:rPr>
          <w:vertAlign w:val="superscript"/>
        </w:rPr>
        <w:footnoteReference w:id="84"/>
      </w:r>
      <w:r>
        <w:rPr>
          <w:color w:val="000000"/>
        </w:rPr>
        <w:t xml:space="preserve"> and the European Open Science Cloud (EOSC)</w:t>
      </w:r>
      <w:r>
        <w:rPr>
          <w:vertAlign w:val="superscript"/>
        </w:rPr>
        <w:footnoteReference w:id="85"/>
      </w:r>
      <w:r>
        <w:rPr>
          <w:color w:val="000000"/>
        </w:rPr>
        <w:t xml:space="preserve"> architectures and research environments, while comprehensively addressing cybersecurity, data privacy, trustworthiness, equity and data quality, interoperability and access modalities.</w:t>
      </w:r>
    </w:p>
    <w:p w14:paraId="2E08C45B" w14:textId="77777777" w:rsidR="00056AEE" w:rsidRDefault="00A00CB7" w:rsidP="003A38F8">
      <w:pPr>
        <w:pStyle w:val="Paragraphedeliste"/>
        <w:numPr>
          <w:ilvl w:val="0"/>
          <w:numId w:val="24"/>
        </w:numPr>
      </w:pPr>
      <w:r>
        <w:rPr>
          <w:color w:val="000000"/>
        </w:rPr>
        <w:t>Identify and address the current technical, operational, and social limitations related to the (cross-border) access to quality data and to the smooth implementation of AI-driven solutions in the societal and legal context of the EU and Associated Countries.</w:t>
      </w:r>
    </w:p>
    <w:p w14:paraId="216197F3" w14:textId="77777777" w:rsidR="00056AEE" w:rsidRDefault="00A00CB7" w:rsidP="003A38F8">
      <w:pPr>
        <w:pStyle w:val="Paragraphedeliste"/>
        <w:numPr>
          <w:ilvl w:val="0"/>
          <w:numId w:val="24"/>
        </w:numPr>
      </w:pPr>
      <w:r>
        <w:rPr>
          <w:color w:val="000000"/>
        </w:rPr>
        <w:t xml:space="preserve">Engage with end-users, policymakers and other stakeholders in the development, improvement, testing and validation of bias-free AI-based tools and technologies, to propose options for the validation and uptake of the novel AI tools in real-world settings taking into consideration aspects like training needs, responsible use, users' trust, energy consumption, etc. </w:t>
      </w:r>
    </w:p>
    <w:p w14:paraId="380F044B" w14:textId="77777777" w:rsidR="00056AEE" w:rsidRDefault="00A00CB7">
      <w:r>
        <w:rPr>
          <w:color w:val="000000"/>
        </w:rPr>
        <w:t>Proposals selected for funding under this topic are expected to participate in joint activities as appropriate, which can take the form of project clustering, workshops, joint dissemination activities, etc. Applicants should anticipate budget to cover this collaboration.</w:t>
      </w:r>
    </w:p>
    <w:p w14:paraId="332481DF" w14:textId="77777777" w:rsidR="00056AEE" w:rsidRDefault="00A00CB7">
      <w:r>
        <w:rPr>
          <w:color w:val="000000"/>
        </w:rPr>
        <w:t xml:space="preserve">This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1A970C93" w14:textId="77777777" w:rsidR="00056AEE" w:rsidRDefault="00A00CB7">
      <w:r>
        <w:rPr>
          <w:color w:val="000000"/>
        </w:rPr>
        <w:t>Particular attention should be paid to detecting and mitigating gender, racial and other biases, aiming to develop AI models that are fair, trustworthy, and beneficial for all. Proposals are encouraged to explore potential synergies with the projects funded under the topic HORIZON-CL4-2021-HUMAN-01-24: “Tackling gender, race and other biases in AI”, as well as under the topic SC1-PHE-CORONAVIRUS-2020-2C: “Behavioural, social and economic impacts of the outbreak response”.</w:t>
      </w:r>
    </w:p>
    <w:p w14:paraId="2FCA1E99"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78049A16" w14:textId="77777777" w:rsidR="00056AEE" w:rsidRDefault="00A00CB7">
      <w:pPr>
        <w:pStyle w:val="HeadingThree"/>
      </w:pPr>
      <w:bookmarkStart w:id="19" w:name="_Toc171689866"/>
      <w:r>
        <w:lastRenderedPageBreak/>
        <w:t>HORIZON-HLTH-2025-01-DISEASE-05: Support for the functioning of the Global Research Collaboration for Infectious Disease Preparedness (</w:t>
      </w:r>
      <w:proofErr w:type="spellStart"/>
      <w:r>
        <w:t>GloPID</w:t>
      </w:r>
      <w:proofErr w:type="spellEnd"/>
      <w:r>
        <w:t>-R)</w:t>
      </w:r>
      <w:bookmarkEnd w:id="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30"/>
        <w:gridCol w:w="7142"/>
      </w:tblGrid>
      <w:tr w:rsidR="003A38F8" w14:paraId="02DC2A66" w14:textId="77777777" w:rsidTr="003A38F8">
        <w:tc>
          <w:tcPr>
            <w:tcW w:w="0" w:type="auto"/>
            <w:gridSpan w:val="2"/>
          </w:tcPr>
          <w:p w14:paraId="63983B45" w14:textId="77777777" w:rsidR="00056AEE" w:rsidRDefault="00A00CB7">
            <w:pPr>
              <w:pStyle w:val="CellTextValue"/>
            </w:pPr>
            <w:r>
              <w:rPr>
                <w:b/>
              </w:rPr>
              <w:t>Call: Cluster 1 - Health (Single stage - 2025)</w:t>
            </w:r>
          </w:p>
        </w:tc>
      </w:tr>
      <w:tr w:rsidR="003A38F8" w14:paraId="4F6226F2" w14:textId="77777777" w:rsidTr="003A38F8">
        <w:tc>
          <w:tcPr>
            <w:tcW w:w="0" w:type="auto"/>
            <w:gridSpan w:val="2"/>
          </w:tcPr>
          <w:p w14:paraId="53534AAB" w14:textId="77777777" w:rsidR="00056AEE" w:rsidRDefault="00A00CB7">
            <w:pPr>
              <w:pStyle w:val="CellTextValue"/>
            </w:pPr>
            <w:r>
              <w:rPr>
                <w:b/>
              </w:rPr>
              <w:t>Specific conditions</w:t>
            </w:r>
          </w:p>
        </w:tc>
      </w:tr>
      <w:tr w:rsidR="00056AEE" w14:paraId="71033E00" w14:textId="77777777">
        <w:tc>
          <w:tcPr>
            <w:tcW w:w="0" w:type="auto"/>
          </w:tcPr>
          <w:p w14:paraId="037CED68" w14:textId="77777777" w:rsidR="00056AEE" w:rsidRDefault="00A00CB7">
            <w:pPr>
              <w:pStyle w:val="CellTextValue"/>
              <w:jc w:val="left"/>
            </w:pPr>
            <w:r>
              <w:rPr>
                <w:i/>
              </w:rPr>
              <w:t>Expected EU contribution per project</w:t>
            </w:r>
          </w:p>
        </w:tc>
        <w:tc>
          <w:tcPr>
            <w:tcW w:w="0" w:type="auto"/>
          </w:tcPr>
          <w:p w14:paraId="6AAC59F0" w14:textId="77777777" w:rsidR="00056AEE" w:rsidRDefault="00A00CB7">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056AEE" w14:paraId="4C21725D" w14:textId="77777777">
        <w:tc>
          <w:tcPr>
            <w:tcW w:w="0" w:type="auto"/>
          </w:tcPr>
          <w:p w14:paraId="246E82D5" w14:textId="77777777" w:rsidR="00056AEE" w:rsidRDefault="00A00CB7">
            <w:pPr>
              <w:pStyle w:val="CellTextValue"/>
              <w:jc w:val="left"/>
            </w:pPr>
            <w:r>
              <w:rPr>
                <w:i/>
              </w:rPr>
              <w:t>Indicative budget</w:t>
            </w:r>
          </w:p>
        </w:tc>
        <w:tc>
          <w:tcPr>
            <w:tcW w:w="0" w:type="auto"/>
          </w:tcPr>
          <w:p w14:paraId="3E9DF088" w14:textId="77777777" w:rsidR="00056AEE" w:rsidRDefault="00A00CB7">
            <w:pPr>
              <w:pStyle w:val="CellTextValue"/>
            </w:pPr>
            <w:r>
              <w:t>The total indicative budget for the topic is EUR 2.00 million.</w:t>
            </w:r>
          </w:p>
        </w:tc>
      </w:tr>
      <w:tr w:rsidR="00056AEE" w14:paraId="00DC4F19" w14:textId="77777777">
        <w:tc>
          <w:tcPr>
            <w:tcW w:w="0" w:type="auto"/>
          </w:tcPr>
          <w:p w14:paraId="3A2D3546" w14:textId="77777777" w:rsidR="00056AEE" w:rsidRDefault="00A00CB7">
            <w:pPr>
              <w:pStyle w:val="CellTextValue"/>
              <w:jc w:val="left"/>
            </w:pPr>
            <w:r>
              <w:rPr>
                <w:i/>
              </w:rPr>
              <w:t>Type of Action</w:t>
            </w:r>
          </w:p>
        </w:tc>
        <w:tc>
          <w:tcPr>
            <w:tcW w:w="0" w:type="auto"/>
          </w:tcPr>
          <w:p w14:paraId="73618FF3" w14:textId="77777777" w:rsidR="00056AEE" w:rsidRDefault="00A00CB7">
            <w:pPr>
              <w:pStyle w:val="CellTextValue"/>
            </w:pPr>
            <w:r>
              <w:rPr>
                <w:color w:val="000000"/>
              </w:rPr>
              <w:t>Coordination and Support Actions</w:t>
            </w:r>
          </w:p>
        </w:tc>
      </w:tr>
      <w:tr w:rsidR="00056AEE" w14:paraId="1549E5B3" w14:textId="77777777">
        <w:tc>
          <w:tcPr>
            <w:tcW w:w="0" w:type="auto"/>
          </w:tcPr>
          <w:p w14:paraId="1ED32243" w14:textId="77777777" w:rsidR="00056AEE" w:rsidRDefault="00A00CB7">
            <w:pPr>
              <w:pStyle w:val="CellTextValue"/>
              <w:jc w:val="left"/>
            </w:pPr>
            <w:r>
              <w:rPr>
                <w:i/>
              </w:rPr>
              <w:t>Eligibility conditions</w:t>
            </w:r>
          </w:p>
        </w:tc>
        <w:tc>
          <w:tcPr>
            <w:tcW w:w="0" w:type="auto"/>
          </w:tcPr>
          <w:p w14:paraId="24D63651" w14:textId="77777777" w:rsidR="00056AEE" w:rsidRDefault="00A00CB7">
            <w:pPr>
              <w:pStyle w:val="CellTextValue"/>
            </w:pPr>
            <w:r>
              <w:rPr>
                <w:color w:val="000000"/>
              </w:rPr>
              <w:t>The conditions are described in General Annex B. The following exceptions apply:</w:t>
            </w:r>
          </w:p>
          <w:p w14:paraId="48EE7577"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F1D229E" w14:textId="77777777" w:rsidR="00056AEE" w:rsidRDefault="00A00CB7">
            <w:pPr>
              <w:pStyle w:val="CellTextValue"/>
            </w:pPr>
            <w:r>
              <w:rPr>
                <w:color w:val="000000"/>
              </w:rPr>
              <w:t xml:space="preserve">In recognition of the opening of the US National Institutes of Health’s programmes to European researchers, legal entities established in the United States of America may exceptionally participate as a beneficiary or affiliated </w:t>
            </w:r>
            <w:proofErr w:type="gramStart"/>
            <w:r>
              <w:rPr>
                <w:color w:val="000000"/>
              </w:rPr>
              <w:t>entity, and</w:t>
            </w:r>
            <w:proofErr w:type="gramEnd"/>
            <w:r>
              <w:rPr>
                <w:color w:val="000000"/>
              </w:rPr>
              <w:t xml:space="preserve"> are eligible to receive Union funding.</w:t>
            </w:r>
          </w:p>
          <w:p w14:paraId="1BC5FB64" w14:textId="77777777" w:rsidR="00056AEE" w:rsidRDefault="00A00CB7">
            <w:r>
              <w:rPr>
                <w:color w:val="000000"/>
              </w:rPr>
              <w:t>Coordinators of projects must be legal entities established in an EU Member State or Associated Country.</w:t>
            </w:r>
          </w:p>
        </w:tc>
      </w:tr>
      <w:tr w:rsidR="00056AEE" w14:paraId="2CD57CD4" w14:textId="77777777">
        <w:tc>
          <w:tcPr>
            <w:tcW w:w="0" w:type="auto"/>
          </w:tcPr>
          <w:p w14:paraId="4EFDCA9C" w14:textId="77777777" w:rsidR="00056AEE" w:rsidRDefault="00A00CB7">
            <w:pPr>
              <w:pStyle w:val="CellTextValue"/>
              <w:jc w:val="left"/>
            </w:pPr>
            <w:r>
              <w:rPr>
                <w:i/>
              </w:rPr>
              <w:t>Award criteria</w:t>
            </w:r>
          </w:p>
        </w:tc>
        <w:tc>
          <w:tcPr>
            <w:tcW w:w="0" w:type="auto"/>
          </w:tcPr>
          <w:p w14:paraId="7952A08E" w14:textId="77777777" w:rsidR="00056AEE" w:rsidRDefault="00A00CB7">
            <w:pPr>
              <w:pStyle w:val="CellTextValue"/>
            </w:pPr>
            <w:r>
              <w:rPr>
                <w:color w:val="000000"/>
              </w:rPr>
              <w:t>The criteria are described in General Annex D. The following exceptions apply:</w:t>
            </w:r>
          </w:p>
          <w:p w14:paraId="71E65846" w14:textId="77777777" w:rsidR="00056AEE" w:rsidRDefault="00A00CB7">
            <w:pPr>
              <w:pStyle w:val="CellTextValue"/>
            </w:pPr>
            <w:r>
              <w:rPr>
                <w:color w:val="000000"/>
              </w:rPr>
              <w:t>The thresholds for each criterion will be 4 (Excellence), 4 (Impact) and 4 (Implementation). The cumulative threshold will be 12.</w:t>
            </w:r>
          </w:p>
        </w:tc>
      </w:tr>
    </w:tbl>
    <w:p w14:paraId="15228D30" w14:textId="77777777" w:rsidR="00056AEE" w:rsidRDefault="00056AEE">
      <w:pPr>
        <w:spacing w:after="0" w:line="150" w:lineRule="auto"/>
      </w:pPr>
    </w:p>
    <w:p w14:paraId="698F1871"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some of the following expected outcomes:</w:t>
      </w:r>
    </w:p>
    <w:p w14:paraId="31A9951F" w14:textId="77777777" w:rsidR="00056AEE" w:rsidRDefault="00A00CB7" w:rsidP="003A38F8">
      <w:pPr>
        <w:pStyle w:val="Paragraphedeliste"/>
        <w:numPr>
          <w:ilvl w:val="0"/>
          <w:numId w:val="25"/>
        </w:numPr>
      </w:pPr>
      <w:r>
        <w:rPr>
          <w:color w:val="000000"/>
        </w:rPr>
        <w:t xml:space="preserve">International research funders are supported by a dynamic and efficient secretariat in their coordination efforts for a rapid research response when a pandemic or a </w:t>
      </w:r>
      <w:proofErr w:type="gramStart"/>
      <w:r>
        <w:rPr>
          <w:color w:val="000000"/>
        </w:rPr>
        <w:t>severe epidemic strikes</w:t>
      </w:r>
      <w:proofErr w:type="gramEnd"/>
      <w:r>
        <w:rPr>
          <w:color w:val="000000"/>
        </w:rPr>
        <w:t>.</w:t>
      </w:r>
    </w:p>
    <w:p w14:paraId="51CA9995" w14:textId="77777777" w:rsidR="00056AEE" w:rsidRDefault="00A00CB7" w:rsidP="003A38F8">
      <w:pPr>
        <w:pStyle w:val="Paragraphedeliste"/>
        <w:numPr>
          <w:ilvl w:val="0"/>
          <w:numId w:val="25"/>
        </w:numPr>
      </w:pPr>
      <w:r>
        <w:rPr>
          <w:color w:val="000000"/>
        </w:rPr>
        <w:t xml:space="preserve">International research funders can rely on a tested framework underpinning a rapid and effective research response, and as such ensure stronger research preparedness and </w:t>
      </w:r>
      <w:r>
        <w:rPr>
          <w:color w:val="000000"/>
        </w:rPr>
        <w:lastRenderedPageBreak/>
        <w:t>response for public health emergencies, including in cross-cutting areas such as data sharing, social science, clinical trial networks and others.</w:t>
      </w:r>
    </w:p>
    <w:p w14:paraId="6472C25E" w14:textId="77777777" w:rsidR="00056AEE" w:rsidRDefault="00A00CB7" w:rsidP="003A38F8">
      <w:pPr>
        <w:pStyle w:val="Paragraphedeliste"/>
        <w:numPr>
          <w:ilvl w:val="0"/>
          <w:numId w:val="25"/>
        </w:numPr>
      </w:pPr>
      <w:r>
        <w:rPr>
          <w:color w:val="000000"/>
        </w:rPr>
        <w:t>Research funders, policymakers and the research community are well informed of the activities of the members of the Global Research Collaboration for Infectious Disease Preparedness (</w:t>
      </w:r>
      <w:proofErr w:type="spellStart"/>
      <w:r>
        <w:rPr>
          <w:color w:val="000000"/>
        </w:rPr>
        <w:t>GloPID</w:t>
      </w:r>
      <w:proofErr w:type="spellEnd"/>
      <w:r>
        <w:rPr>
          <w:color w:val="000000"/>
        </w:rPr>
        <w:t>-R)</w:t>
      </w:r>
      <w:r>
        <w:rPr>
          <w:vertAlign w:val="superscript"/>
        </w:rPr>
        <w:footnoteReference w:id="86"/>
      </w:r>
      <w:r>
        <w:rPr>
          <w:color w:val="000000"/>
        </w:rPr>
        <w:t xml:space="preserve">, both as a group and individually. </w:t>
      </w:r>
    </w:p>
    <w:p w14:paraId="219776CD" w14:textId="77777777" w:rsidR="00056AEE" w:rsidRDefault="00A00CB7">
      <w:r>
        <w:rPr>
          <w:u w:val="single"/>
        </w:rPr>
        <w:t>Scope</w:t>
      </w:r>
      <w:r>
        <w:t xml:space="preserve">: </w:t>
      </w:r>
      <w:r>
        <w:rPr>
          <w:color w:val="000000"/>
        </w:rPr>
        <w:t xml:space="preserve">Recent history has illustrated the potential extent of threats posed by new or emerging infectious diseases, as well as the central importance of global collaboration and coordination to fight such international challenges. </w:t>
      </w:r>
      <w:proofErr w:type="spellStart"/>
      <w:r>
        <w:rPr>
          <w:color w:val="000000"/>
        </w:rPr>
        <w:t>GloPID</w:t>
      </w:r>
      <w:proofErr w:type="spellEnd"/>
      <w:r>
        <w:rPr>
          <w:color w:val="000000"/>
        </w:rPr>
        <w:t xml:space="preserve">-R was established in 2013 for this reason, in response to a request for coordination by the Heads of International Research Organisations. </w:t>
      </w:r>
      <w:proofErr w:type="spellStart"/>
      <w:r>
        <w:rPr>
          <w:color w:val="000000"/>
        </w:rPr>
        <w:t>GloPID</w:t>
      </w:r>
      <w:proofErr w:type="spellEnd"/>
      <w:r>
        <w:rPr>
          <w:color w:val="000000"/>
        </w:rPr>
        <w:t>-R now provides a widely recognised platform for infectious disease research funders to work together to better tackle severe epidemics such as Ebola or Zika, as well as global pandemics such as COVID-19.</w:t>
      </w:r>
    </w:p>
    <w:p w14:paraId="4AB56A78" w14:textId="77777777" w:rsidR="00056AEE" w:rsidRDefault="00A00CB7">
      <w:proofErr w:type="spellStart"/>
      <w:r>
        <w:rPr>
          <w:color w:val="000000"/>
        </w:rPr>
        <w:t>GloPID</w:t>
      </w:r>
      <w:proofErr w:type="spellEnd"/>
      <w:r>
        <w:rPr>
          <w:color w:val="000000"/>
        </w:rPr>
        <w:t xml:space="preserve">-R enables coordination between funders and with relevant global actors such as the World Health Organization (WHO) or the Coalition for Epidemic Preparedness Innovation (CEPI); or promotes exchanges and synergies between funded researchers. The </w:t>
      </w:r>
      <w:proofErr w:type="spellStart"/>
      <w:r>
        <w:rPr>
          <w:color w:val="000000"/>
        </w:rPr>
        <w:t>GloPID</w:t>
      </w:r>
      <w:proofErr w:type="spellEnd"/>
      <w:r>
        <w:rPr>
          <w:color w:val="000000"/>
        </w:rPr>
        <w:t>-R’s regional hubs strategy fosters regional research priorities and funder engagement. The network is engaged among others in efforts to strengthen the coordination of clinical trial responses, to track research and evidence on diseases with pandemic potential, or to coordinate funding for cross-cutting research on pandemic preparedness.</w:t>
      </w:r>
    </w:p>
    <w:p w14:paraId="2CC248D3" w14:textId="77777777" w:rsidR="00056AEE" w:rsidRDefault="00A00CB7">
      <w:r>
        <w:rPr>
          <w:color w:val="000000"/>
        </w:rPr>
        <w:t xml:space="preserve">Proposals should foresee administrative and technical support through a secretariat to maintain, but above all to support </w:t>
      </w:r>
      <w:proofErr w:type="spellStart"/>
      <w:r>
        <w:rPr>
          <w:color w:val="000000"/>
        </w:rPr>
        <w:t>GloPID</w:t>
      </w:r>
      <w:proofErr w:type="spellEnd"/>
      <w:r>
        <w:rPr>
          <w:color w:val="000000"/>
        </w:rPr>
        <w:t>-R’s continuous evolution for an optimal value added.</w:t>
      </w:r>
    </w:p>
    <w:p w14:paraId="34708837" w14:textId="77777777" w:rsidR="00056AEE" w:rsidRDefault="00A00CB7">
      <w:r>
        <w:rPr>
          <w:color w:val="000000"/>
        </w:rPr>
        <w:t>Proposals are expected to cover all the following activities:</w:t>
      </w:r>
    </w:p>
    <w:p w14:paraId="5C267D58" w14:textId="77777777" w:rsidR="00056AEE" w:rsidRDefault="00A00CB7" w:rsidP="003A38F8">
      <w:pPr>
        <w:pStyle w:val="Paragraphedeliste"/>
        <w:numPr>
          <w:ilvl w:val="0"/>
          <w:numId w:val="26"/>
        </w:numPr>
      </w:pPr>
      <w:r>
        <w:rPr>
          <w:color w:val="000000"/>
        </w:rPr>
        <w:t xml:space="preserve">Provide administrative and organisational support to the Board of </w:t>
      </w:r>
      <w:proofErr w:type="spellStart"/>
      <w:r>
        <w:rPr>
          <w:color w:val="000000"/>
        </w:rPr>
        <w:t>GloPID</w:t>
      </w:r>
      <w:proofErr w:type="spellEnd"/>
      <w:r>
        <w:rPr>
          <w:color w:val="000000"/>
        </w:rPr>
        <w:t xml:space="preserve">-R, in close collaboration with the European </w:t>
      </w:r>
      <w:proofErr w:type="gramStart"/>
      <w:r>
        <w:rPr>
          <w:color w:val="000000"/>
        </w:rPr>
        <w:t>Commission;</w:t>
      </w:r>
      <w:proofErr w:type="gramEnd"/>
    </w:p>
    <w:p w14:paraId="4BA3913A" w14:textId="77777777" w:rsidR="00056AEE" w:rsidRDefault="00A00CB7" w:rsidP="003A38F8">
      <w:pPr>
        <w:pStyle w:val="Paragraphedeliste"/>
        <w:numPr>
          <w:ilvl w:val="0"/>
          <w:numId w:val="26"/>
        </w:numPr>
      </w:pPr>
      <w:r>
        <w:rPr>
          <w:color w:val="000000"/>
        </w:rPr>
        <w:t xml:space="preserve">Provide strong scientific support on topics requested by the </w:t>
      </w:r>
      <w:proofErr w:type="spellStart"/>
      <w:r>
        <w:rPr>
          <w:color w:val="000000"/>
        </w:rPr>
        <w:t>GloPID</w:t>
      </w:r>
      <w:proofErr w:type="spellEnd"/>
      <w:r>
        <w:rPr>
          <w:color w:val="000000"/>
        </w:rPr>
        <w:t xml:space="preserve">-R Board, scientific advisors or (working) </w:t>
      </w:r>
      <w:proofErr w:type="gramStart"/>
      <w:r>
        <w:rPr>
          <w:color w:val="000000"/>
        </w:rPr>
        <w:t>groups;</w:t>
      </w:r>
      <w:proofErr w:type="gramEnd"/>
    </w:p>
    <w:p w14:paraId="5D074C5D" w14:textId="77777777" w:rsidR="00056AEE" w:rsidRDefault="00A00CB7" w:rsidP="003A38F8">
      <w:pPr>
        <w:pStyle w:val="Paragraphedeliste"/>
        <w:numPr>
          <w:ilvl w:val="0"/>
          <w:numId w:val="26"/>
        </w:numPr>
      </w:pPr>
      <w:r>
        <w:rPr>
          <w:color w:val="000000"/>
        </w:rPr>
        <w:t xml:space="preserve">Facilitate the work of the </w:t>
      </w:r>
      <w:proofErr w:type="spellStart"/>
      <w:r>
        <w:rPr>
          <w:color w:val="000000"/>
        </w:rPr>
        <w:t>GloPID</w:t>
      </w:r>
      <w:proofErr w:type="spellEnd"/>
      <w:r>
        <w:rPr>
          <w:color w:val="000000"/>
        </w:rPr>
        <w:t xml:space="preserve">-R working groups and scientific advisors, using earlier experience in research preparedness and response to infectious disease </w:t>
      </w:r>
      <w:proofErr w:type="gramStart"/>
      <w:r>
        <w:rPr>
          <w:color w:val="000000"/>
        </w:rPr>
        <w:t>outbreaks;</w:t>
      </w:r>
      <w:proofErr w:type="gramEnd"/>
    </w:p>
    <w:p w14:paraId="7C097402" w14:textId="77777777" w:rsidR="00056AEE" w:rsidRDefault="00A00CB7" w:rsidP="003A38F8">
      <w:pPr>
        <w:pStyle w:val="Paragraphedeliste"/>
        <w:numPr>
          <w:ilvl w:val="0"/>
          <w:numId w:val="26"/>
        </w:numPr>
      </w:pPr>
      <w:r>
        <w:rPr>
          <w:color w:val="000000"/>
        </w:rPr>
        <w:t xml:space="preserve">Manage fluid information dissemination and communication between the Board, Members, scientific advisors, working groups, enquiries, and outside </w:t>
      </w:r>
      <w:proofErr w:type="gramStart"/>
      <w:r>
        <w:rPr>
          <w:color w:val="000000"/>
        </w:rPr>
        <w:t>stakeholders;</w:t>
      </w:r>
      <w:proofErr w:type="gramEnd"/>
    </w:p>
    <w:p w14:paraId="11B463F8" w14:textId="77777777" w:rsidR="00056AEE" w:rsidRDefault="00A00CB7" w:rsidP="003A38F8">
      <w:pPr>
        <w:pStyle w:val="Paragraphedeliste"/>
        <w:numPr>
          <w:ilvl w:val="0"/>
          <w:numId w:val="26"/>
        </w:numPr>
      </w:pPr>
      <w:r>
        <w:rPr>
          <w:color w:val="000000"/>
        </w:rPr>
        <w:t xml:space="preserve">Ensure strong external communications activities, e.g. through the website, newsletter, and social </w:t>
      </w:r>
      <w:proofErr w:type="gramStart"/>
      <w:r>
        <w:rPr>
          <w:color w:val="000000"/>
        </w:rPr>
        <w:t>media;</w:t>
      </w:r>
      <w:proofErr w:type="gramEnd"/>
    </w:p>
    <w:p w14:paraId="506BE2A8" w14:textId="77777777" w:rsidR="00056AEE" w:rsidRDefault="00A00CB7" w:rsidP="003A38F8">
      <w:pPr>
        <w:pStyle w:val="Paragraphedeliste"/>
        <w:numPr>
          <w:ilvl w:val="0"/>
          <w:numId w:val="26"/>
        </w:numPr>
      </w:pPr>
      <w:r>
        <w:rPr>
          <w:color w:val="000000"/>
        </w:rPr>
        <w:t xml:space="preserve">Submit an annual work plan to the Commission each year following the annual meeting of </w:t>
      </w:r>
      <w:proofErr w:type="spellStart"/>
      <w:r>
        <w:rPr>
          <w:color w:val="000000"/>
        </w:rPr>
        <w:t>GloPID</w:t>
      </w:r>
      <w:proofErr w:type="spellEnd"/>
      <w:r>
        <w:rPr>
          <w:color w:val="000000"/>
        </w:rPr>
        <w:t xml:space="preserve">-R, taking into account the conclusions of the annual </w:t>
      </w:r>
      <w:proofErr w:type="gramStart"/>
      <w:r>
        <w:rPr>
          <w:color w:val="000000"/>
        </w:rPr>
        <w:t>meeting;</w:t>
      </w:r>
      <w:proofErr w:type="gramEnd"/>
    </w:p>
    <w:p w14:paraId="55E31E66" w14:textId="77777777" w:rsidR="00056AEE" w:rsidRDefault="00A00CB7" w:rsidP="003A38F8">
      <w:pPr>
        <w:pStyle w:val="Paragraphedeliste"/>
        <w:numPr>
          <w:ilvl w:val="0"/>
          <w:numId w:val="26"/>
        </w:numPr>
      </w:pPr>
      <w:r>
        <w:rPr>
          <w:color w:val="000000"/>
        </w:rPr>
        <w:lastRenderedPageBreak/>
        <w:t xml:space="preserve">Ensure a high level of adaptability to respond to rapidly evolving situations, following the guidance of the </w:t>
      </w:r>
      <w:proofErr w:type="spellStart"/>
      <w:r>
        <w:rPr>
          <w:color w:val="000000"/>
        </w:rPr>
        <w:t>GloPID</w:t>
      </w:r>
      <w:proofErr w:type="spellEnd"/>
      <w:r>
        <w:rPr>
          <w:color w:val="000000"/>
        </w:rPr>
        <w:t xml:space="preserve">-R Board. </w:t>
      </w:r>
    </w:p>
    <w:p w14:paraId="051200F5" w14:textId="77777777" w:rsidR="00056AEE" w:rsidRDefault="00A00CB7">
      <w:pPr>
        <w:pStyle w:val="HeadingThree"/>
      </w:pPr>
      <w:bookmarkStart w:id="20" w:name="_Toc171689867"/>
      <w:r>
        <w:t>HORIZON-HLTH-2025-01-DISEASE-06: Implementation research addressing strategies to strengthen health systems for equitable high-quality care and health outcomes in the context of non-communicable diseases (GACD)</w:t>
      </w:r>
      <w:bookmarkEnd w:id="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3A38F8" w14:paraId="39A01A95" w14:textId="77777777" w:rsidTr="003A38F8">
        <w:tc>
          <w:tcPr>
            <w:tcW w:w="0" w:type="auto"/>
            <w:gridSpan w:val="2"/>
          </w:tcPr>
          <w:p w14:paraId="1EBB5893" w14:textId="77777777" w:rsidR="00056AEE" w:rsidRDefault="00A00CB7">
            <w:pPr>
              <w:pStyle w:val="CellTextValue"/>
            </w:pPr>
            <w:r>
              <w:rPr>
                <w:b/>
              </w:rPr>
              <w:t>Call: Cluster 1 - Health (Single stage - 2025)</w:t>
            </w:r>
          </w:p>
        </w:tc>
      </w:tr>
      <w:tr w:rsidR="003A38F8" w14:paraId="7631663C" w14:textId="77777777" w:rsidTr="003A38F8">
        <w:tc>
          <w:tcPr>
            <w:tcW w:w="0" w:type="auto"/>
            <w:gridSpan w:val="2"/>
          </w:tcPr>
          <w:p w14:paraId="4E28878A" w14:textId="77777777" w:rsidR="00056AEE" w:rsidRDefault="00A00CB7">
            <w:pPr>
              <w:pStyle w:val="CellTextValue"/>
            </w:pPr>
            <w:r>
              <w:rPr>
                <w:b/>
              </w:rPr>
              <w:t>Specific conditions</w:t>
            </w:r>
          </w:p>
        </w:tc>
      </w:tr>
      <w:tr w:rsidR="00056AEE" w14:paraId="0ECEB9D8" w14:textId="77777777">
        <w:tc>
          <w:tcPr>
            <w:tcW w:w="0" w:type="auto"/>
          </w:tcPr>
          <w:p w14:paraId="602BF957" w14:textId="77777777" w:rsidR="00056AEE" w:rsidRDefault="00A00CB7">
            <w:pPr>
              <w:pStyle w:val="CellTextValue"/>
              <w:jc w:val="left"/>
            </w:pPr>
            <w:r>
              <w:rPr>
                <w:i/>
              </w:rPr>
              <w:t>Expected EU contribution per project</w:t>
            </w:r>
          </w:p>
        </w:tc>
        <w:tc>
          <w:tcPr>
            <w:tcW w:w="0" w:type="auto"/>
          </w:tcPr>
          <w:p w14:paraId="12096E07" w14:textId="77777777" w:rsidR="00056AEE" w:rsidRDefault="00A00CB7">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056AEE" w14:paraId="08BDAC0B" w14:textId="77777777">
        <w:tc>
          <w:tcPr>
            <w:tcW w:w="0" w:type="auto"/>
          </w:tcPr>
          <w:p w14:paraId="2BBC48E5" w14:textId="77777777" w:rsidR="00056AEE" w:rsidRDefault="00A00CB7">
            <w:pPr>
              <w:pStyle w:val="CellTextValue"/>
              <w:jc w:val="left"/>
            </w:pPr>
            <w:r>
              <w:rPr>
                <w:i/>
              </w:rPr>
              <w:t>Indicative budget</w:t>
            </w:r>
          </w:p>
        </w:tc>
        <w:tc>
          <w:tcPr>
            <w:tcW w:w="0" w:type="auto"/>
          </w:tcPr>
          <w:p w14:paraId="71454039" w14:textId="77777777" w:rsidR="00056AEE" w:rsidRDefault="00A00CB7">
            <w:pPr>
              <w:pStyle w:val="CellTextValue"/>
            </w:pPr>
            <w:r>
              <w:t>The total indicative budget for the topic is EUR 20.00 million.</w:t>
            </w:r>
          </w:p>
        </w:tc>
      </w:tr>
      <w:tr w:rsidR="00056AEE" w14:paraId="11E890A8" w14:textId="77777777">
        <w:tc>
          <w:tcPr>
            <w:tcW w:w="0" w:type="auto"/>
          </w:tcPr>
          <w:p w14:paraId="6F7DD3AC" w14:textId="77777777" w:rsidR="00056AEE" w:rsidRDefault="00A00CB7">
            <w:pPr>
              <w:pStyle w:val="CellTextValue"/>
              <w:jc w:val="left"/>
            </w:pPr>
            <w:r>
              <w:rPr>
                <w:i/>
              </w:rPr>
              <w:t>Type of Action</w:t>
            </w:r>
          </w:p>
        </w:tc>
        <w:tc>
          <w:tcPr>
            <w:tcW w:w="0" w:type="auto"/>
          </w:tcPr>
          <w:p w14:paraId="492E57BC" w14:textId="77777777" w:rsidR="00056AEE" w:rsidRDefault="00A00CB7">
            <w:pPr>
              <w:pStyle w:val="CellTextValue"/>
            </w:pPr>
            <w:r>
              <w:rPr>
                <w:color w:val="000000"/>
              </w:rPr>
              <w:t>Research and Innovation Actions</w:t>
            </w:r>
          </w:p>
        </w:tc>
      </w:tr>
      <w:tr w:rsidR="00056AEE" w14:paraId="78F756FD" w14:textId="77777777">
        <w:tc>
          <w:tcPr>
            <w:tcW w:w="0" w:type="auto"/>
          </w:tcPr>
          <w:p w14:paraId="220229D7" w14:textId="77777777" w:rsidR="00056AEE" w:rsidRDefault="00A00CB7">
            <w:pPr>
              <w:pStyle w:val="CellTextValue"/>
              <w:jc w:val="left"/>
            </w:pPr>
            <w:r>
              <w:rPr>
                <w:i/>
              </w:rPr>
              <w:t>Eligibility conditions</w:t>
            </w:r>
          </w:p>
        </w:tc>
        <w:tc>
          <w:tcPr>
            <w:tcW w:w="0" w:type="auto"/>
          </w:tcPr>
          <w:p w14:paraId="480BE869" w14:textId="77777777" w:rsidR="00056AEE" w:rsidRDefault="00A00CB7">
            <w:pPr>
              <w:pStyle w:val="CellTextValue"/>
            </w:pPr>
            <w:r>
              <w:rPr>
                <w:color w:val="000000"/>
              </w:rPr>
              <w:t>The conditions are described in General Annex B. The following exceptions apply:</w:t>
            </w:r>
          </w:p>
          <w:p w14:paraId="0BDFCCAE"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23BBDC18"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tc>
      </w:tr>
      <w:tr w:rsidR="00056AEE" w14:paraId="3B857C11" w14:textId="77777777">
        <w:tc>
          <w:tcPr>
            <w:tcW w:w="0" w:type="auto"/>
          </w:tcPr>
          <w:p w14:paraId="43D112AF" w14:textId="77777777" w:rsidR="00056AEE" w:rsidRDefault="00A00CB7">
            <w:pPr>
              <w:pStyle w:val="CellTextValue"/>
              <w:jc w:val="left"/>
            </w:pPr>
            <w:r>
              <w:rPr>
                <w:i/>
              </w:rPr>
              <w:t>Award criteria</w:t>
            </w:r>
          </w:p>
        </w:tc>
        <w:tc>
          <w:tcPr>
            <w:tcW w:w="0" w:type="auto"/>
          </w:tcPr>
          <w:p w14:paraId="46C69745" w14:textId="77777777" w:rsidR="00056AEE" w:rsidRDefault="00A00CB7">
            <w:pPr>
              <w:pStyle w:val="CellTextValue"/>
            </w:pPr>
            <w:r>
              <w:rPr>
                <w:color w:val="000000"/>
              </w:rPr>
              <w:t>The criteria are described in General Annex D. The following exceptions apply:</w:t>
            </w:r>
          </w:p>
          <w:p w14:paraId="4BA607C9" w14:textId="77777777" w:rsidR="00056AEE" w:rsidRDefault="00A00CB7">
            <w:pPr>
              <w:pStyle w:val="CellTextValue"/>
            </w:pPr>
            <w:r>
              <w:rPr>
                <w:color w:val="000000"/>
              </w:rPr>
              <w:t>The thresholds for each criterion will be 4 (Excellence), 4 (Impact) and 4 (Implementation). The cumulative threshold will be 12.</w:t>
            </w:r>
          </w:p>
        </w:tc>
      </w:tr>
    </w:tbl>
    <w:p w14:paraId="0AF56E0C" w14:textId="77777777" w:rsidR="00056AEE" w:rsidRDefault="00056AEE">
      <w:pPr>
        <w:spacing w:after="0" w:line="150" w:lineRule="auto"/>
      </w:pPr>
    </w:p>
    <w:p w14:paraId="048B7BFC"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some of the following expected outcomes:</w:t>
      </w:r>
    </w:p>
    <w:p w14:paraId="762019CE" w14:textId="77777777" w:rsidR="00056AEE" w:rsidRDefault="00A00CB7" w:rsidP="003A38F8">
      <w:pPr>
        <w:pStyle w:val="Paragraphedeliste"/>
        <w:numPr>
          <w:ilvl w:val="0"/>
          <w:numId w:val="27"/>
        </w:numPr>
      </w:pPr>
      <w:r>
        <w:rPr>
          <w:color w:val="000000"/>
        </w:rPr>
        <w:t>Healthcare practitioners and providers in low- and middle-income countries (LMICs) and/or those in high-income countries (HICs) serving disadvantaged populations have access to strengthen health systems for equitable high-quality care and health outcomes in the context of non-communicable diseases (NCDs).</w:t>
      </w:r>
    </w:p>
    <w:p w14:paraId="488AFAEE" w14:textId="77777777" w:rsidR="00056AEE" w:rsidRDefault="00A00CB7" w:rsidP="003A38F8">
      <w:pPr>
        <w:pStyle w:val="Paragraphedeliste"/>
        <w:numPr>
          <w:ilvl w:val="0"/>
          <w:numId w:val="27"/>
        </w:numPr>
      </w:pPr>
      <w:r>
        <w:rPr>
          <w:color w:val="000000"/>
        </w:rPr>
        <w:lastRenderedPageBreak/>
        <w:t>Public health managers and authorities have access to improved insights and evidence on how to decrease the fragmentation of care for patients living with NCDs and ensure continuity of care across all stages of disease progression, including prevention, risk reduction, and timely diagnosis of NCDs. They use this knowledge to design policies to reduce health inequities and to promote equitable health outcomes.</w:t>
      </w:r>
    </w:p>
    <w:p w14:paraId="16C9697C" w14:textId="77777777" w:rsidR="00056AEE" w:rsidRDefault="00A00CB7" w:rsidP="003A38F8">
      <w:pPr>
        <w:pStyle w:val="Paragraphedeliste"/>
        <w:numPr>
          <w:ilvl w:val="0"/>
          <w:numId w:val="27"/>
        </w:numPr>
      </w:pPr>
      <w:r>
        <w:rPr>
          <w:color w:val="000000"/>
        </w:rPr>
        <w:t xml:space="preserve">Adopting an implementation science approach to studying interventions for strengthening health systems for equitable high-quality care and health outcomes in the context of NCDs, researchers, clinicians and authorities have an improved understanding how the proposed interventions could be adopted in LMICs and/or disadvantaged populations of HICs setting, </w:t>
      </w:r>
      <w:proofErr w:type="gramStart"/>
      <w:r>
        <w:rPr>
          <w:color w:val="000000"/>
        </w:rPr>
        <w:t>taking into account</w:t>
      </w:r>
      <w:proofErr w:type="gramEnd"/>
      <w:r>
        <w:rPr>
          <w:color w:val="000000"/>
        </w:rPr>
        <w:t xml:space="preserve"> specific social, political, economic and cultural contexts.</w:t>
      </w:r>
    </w:p>
    <w:p w14:paraId="47E07889" w14:textId="77777777" w:rsidR="00056AEE" w:rsidRDefault="00A00CB7" w:rsidP="003A38F8">
      <w:pPr>
        <w:pStyle w:val="Paragraphedeliste"/>
        <w:numPr>
          <w:ilvl w:val="0"/>
          <w:numId w:val="27"/>
        </w:numPr>
      </w:pPr>
      <w:r>
        <w:rPr>
          <w:color w:val="000000"/>
        </w:rPr>
        <w:t xml:space="preserve">Communities and local stakeholders and authorities are fully engaged in implementing and taking up interventions that strengthen health systems for equitable high-quality care and health outcomes in the context of NCDs and thus contribute to deliver better health, improve quality of life across the life course and extend healthy life expectancy. </w:t>
      </w:r>
    </w:p>
    <w:p w14:paraId="097D0C58" w14:textId="77777777" w:rsidR="00056AEE" w:rsidRDefault="00A00CB7">
      <w:r>
        <w:rPr>
          <w:u w:val="single"/>
        </w:rPr>
        <w:t>Scope</w:t>
      </w:r>
      <w:r>
        <w:t xml:space="preserve">: </w:t>
      </w:r>
      <w:r>
        <w:rPr>
          <w:color w:val="000000"/>
        </w:rPr>
        <w:t>The European Commission is a member of the Global Alliance for Chronic Diseases (GACD)</w:t>
      </w:r>
      <w:r>
        <w:rPr>
          <w:vertAlign w:val="superscript"/>
        </w:rPr>
        <w:footnoteReference w:id="87"/>
      </w:r>
      <w:r>
        <w:rPr>
          <w:color w:val="000000"/>
        </w:rPr>
        <w:t>, an alliance of international funding agencies representing over 80% of the world’s public health research funding and the first collaboration of its kind to specifically address NCDs. The GACD supports implementation science to improve health outcomes. This topic is launched in concertation with the other GACD members funding agencies and aligned with the 10</w:t>
      </w:r>
      <w:r>
        <w:rPr>
          <w:color w:val="000000"/>
          <w:vertAlign w:val="superscript"/>
        </w:rPr>
        <w:t>th</w:t>
      </w:r>
      <w:r>
        <w:rPr>
          <w:color w:val="000000"/>
        </w:rPr>
        <w:t xml:space="preserve"> GACD call.</w:t>
      </w:r>
    </w:p>
    <w:p w14:paraId="1D4F4704" w14:textId="77777777" w:rsidR="00056AEE" w:rsidRDefault="00A00CB7">
      <w:r>
        <w:rPr>
          <w:color w:val="000000"/>
        </w:rPr>
        <w:t>Chronic NCDs have become the leading cause of mortality, morbidity and disability globally. They have a significant detrimental impact both on the lives of the affected individual as well as their families and societies and undermine any ambition for a nation’s economic growth</w:t>
      </w:r>
      <w:r>
        <w:rPr>
          <w:vertAlign w:val="superscript"/>
        </w:rPr>
        <w:footnoteReference w:id="88"/>
      </w:r>
      <w:r>
        <w:rPr>
          <w:color w:val="000000"/>
        </w:rPr>
        <w:t>. Health systems in many countries have not kept pace with the rapid emergence of NCDs that require costly long-term care and treatment. Resilient, fit for purpose, health systems have an important role to play in the fight against NCDs. An optimal health system should provide high-quality, safe, equitable, accessible healthcare, that reflects the needs of the population, and enables the integration of healthcare across the care continuum, encompassing prevention, screening, diagnosis and long-term management of NCDs</w:t>
      </w:r>
      <w:r>
        <w:rPr>
          <w:vertAlign w:val="superscript"/>
        </w:rPr>
        <w:footnoteReference w:id="89"/>
      </w:r>
      <w:r>
        <w:rPr>
          <w:color w:val="000000"/>
        </w:rPr>
        <w:t>. While health systems across the world struggle with these challenges, this is a particular problem in LMICs that have relatively overburdened, poorly resourced and fragile health systems that struggle to cope with the burden of NCDs. Health inequalities, such as those linked to geographical location, socioeconomic status, sex and/or gender, are often accentuated by structural and/or systemic weaknesses such as lack of staff and appropriate medicines.</w:t>
      </w:r>
    </w:p>
    <w:p w14:paraId="05641D07" w14:textId="77777777" w:rsidR="00056AEE" w:rsidRDefault="00A00CB7">
      <w:r>
        <w:rPr>
          <w:color w:val="000000"/>
        </w:rPr>
        <w:lastRenderedPageBreak/>
        <w:t>The increasing burden of NCDs on healthcare systems has spurred a greater interest in exploring strategies to tackle these conditions, including a move from a healthcare system focussed on disease and hospital-based care, to a more holistic model, involving communities and primary care, and focussed on maintaining health</w:t>
      </w:r>
      <w:r>
        <w:rPr>
          <w:vertAlign w:val="superscript"/>
        </w:rPr>
        <w:footnoteReference w:id="90"/>
      </w:r>
      <w:r>
        <w:rPr>
          <w:color w:val="000000"/>
        </w:rPr>
        <w:t>. The WHO has produced a series of recommendations for strengthening health systems, to improve capacity and services to tackle NCDs, with an eye to understanding how the service improvement will be scaled up system-wide</w:t>
      </w:r>
      <w:r>
        <w:rPr>
          <w:vertAlign w:val="superscript"/>
        </w:rPr>
        <w:footnoteReference w:id="91"/>
      </w:r>
      <w:r>
        <w:rPr>
          <w:color w:val="000000"/>
        </w:rPr>
        <w:t>. These include interventions addressing the integration of and access to care, screening, access to medicines and technologies, task shifting and digital health interventions. Implementing these strategies while retaining a focus on equity is challenging and health systems need to account for geographical disparities as well as reach communities that have traditionally suffered health inequalities. Equity in health requires that resources and processes are designed to promote equalisation of health outcomes for populations experiencing health disparities, to ensure similar health outcomes for all of society. Health equity is achieved when everyone can attain their full potential for health and wellbeing.</w:t>
      </w:r>
    </w:p>
    <w:p w14:paraId="6CBA4E56" w14:textId="77777777" w:rsidR="00056AEE" w:rsidRDefault="00A00CB7">
      <w:r>
        <w:rPr>
          <w:color w:val="000000"/>
        </w:rPr>
        <w:t>Evidence for how to strengthen health systems to improve services and ensure equitable health outcomes is emerging, mostly from research in HICs. However, implementing equity-oriented interventions for transformation and/or strengthening of health systems remains challenging and largely unexplored in underserved populations, especially in LMICs. Providing evidence on implementation strategies that can enable effective adaptation and scaling of programmes will be critical to improving survival and quality of life as well as reducing disability, the burden of caretaking on (typically female) family members and costs of healthcare falling on households.</w:t>
      </w:r>
    </w:p>
    <w:p w14:paraId="425C2D4E" w14:textId="77777777" w:rsidR="00056AEE" w:rsidRDefault="00A00CB7">
      <w:r>
        <w:rPr>
          <w:color w:val="000000"/>
        </w:rPr>
        <w:t>This implementation research topic is therefore focused on strategies to support health system transformation and/or strengthening using evidence-based interventions in the context of NCDs that can be adapted to and implemented in LMICs and/or disadvantaged populations experiencing health disparities in HICs to encourage equitable health outcomes.</w:t>
      </w:r>
    </w:p>
    <w:p w14:paraId="6542F11C" w14:textId="77777777" w:rsidR="00056AEE" w:rsidRDefault="00A00CB7">
      <w:r>
        <w:rPr>
          <w:color w:val="000000"/>
        </w:rPr>
        <w:t>The proposed implementation research should be focus on one or more evidence-based interventions (or complex interventions) focussed on building equity-orientated health systems change to tackle the growing burden of chronic conditions, including NCDs. The choice of intervention(s) and provide existing evidence of the intervention’s effectiveness, cost-effectiveness, sustainability, scalability and potential for long-term health and other impacts should be justified (and in what context this evidence has been generated). As the evidence underpinning strategies to transform and/or strengthen health systems in the context of NCDs is still emerging, particularly in LMICs, a limited period of testing the effectiveness of an intervention that the applicant’s team has adapted for local implementation is therefore usually appropriate.</w:t>
      </w:r>
    </w:p>
    <w:p w14:paraId="5428AEF7" w14:textId="77777777" w:rsidR="00056AEE" w:rsidRDefault="00A00CB7">
      <w:r>
        <w:rPr>
          <w:color w:val="000000"/>
        </w:rPr>
        <w:lastRenderedPageBreak/>
        <w:t xml:space="preserve">Applicants should explore the implementation of proposed intervention(s) for a selected study population(s) </w:t>
      </w:r>
      <w:proofErr w:type="gramStart"/>
      <w:r>
        <w:rPr>
          <w:color w:val="000000"/>
        </w:rPr>
        <w:t>taking into account</w:t>
      </w:r>
      <w:proofErr w:type="gramEnd"/>
      <w:r>
        <w:rPr>
          <w:color w:val="000000"/>
        </w:rPr>
        <w:t xml:space="preserve"> the unique social, political, economic, and cultural context(s) in which the study will take place. Applicants should justify why any adaptation will not compromise the known effectiveness of the selected intervention(s).</w:t>
      </w:r>
    </w:p>
    <w:p w14:paraId="37CD13DF" w14:textId="77777777" w:rsidR="00056AEE" w:rsidRDefault="00A00CB7">
      <w:r>
        <w:rPr>
          <w:color w:val="000000"/>
        </w:rPr>
        <w:t>Proposals should address all the following activities</w:t>
      </w:r>
      <w:r>
        <w:rPr>
          <w:vertAlign w:val="superscript"/>
        </w:rPr>
        <w:footnoteReference w:id="92"/>
      </w:r>
      <w:r>
        <w:rPr>
          <w:color w:val="000000"/>
        </w:rPr>
        <w:t>:</w:t>
      </w:r>
    </w:p>
    <w:p w14:paraId="51801931" w14:textId="77777777" w:rsidR="00056AEE" w:rsidRDefault="00A00CB7" w:rsidP="003A38F8">
      <w:pPr>
        <w:pStyle w:val="Paragraphedeliste"/>
        <w:numPr>
          <w:ilvl w:val="0"/>
          <w:numId w:val="28"/>
        </w:numPr>
      </w:pPr>
      <w:r>
        <w:rPr>
          <w:color w:val="000000"/>
        </w:rPr>
        <w:t xml:space="preserve">Provide a research plan using validated implementation research frameworks or hybrid design </w:t>
      </w:r>
      <w:proofErr w:type="gramStart"/>
      <w:r>
        <w:rPr>
          <w:color w:val="000000"/>
        </w:rPr>
        <w:t>research;</w:t>
      </w:r>
      <w:proofErr w:type="gramEnd"/>
    </w:p>
    <w:p w14:paraId="3A535C12" w14:textId="77777777" w:rsidR="00056AEE" w:rsidRDefault="00A00CB7" w:rsidP="003A38F8">
      <w:pPr>
        <w:pStyle w:val="Paragraphedeliste"/>
        <w:numPr>
          <w:ilvl w:val="0"/>
          <w:numId w:val="28"/>
        </w:numPr>
      </w:pPr>
      <w:r>
        <w:rPr>
          <w:color w:val="000000"/>
        </w:rPr>
        <w:t>Have an appropriate strategy for measuring implementation research outcomes and real-world effectiveness outcomes and indicators. Other health or non-health outcome measures, especially those identified as important by patient participants and/or critical for advancing Universal Health Coverage (UHC)</w:t>
      </w:r>
      <w:r>
        <w:rPr>
          <w:vertAlign w:val="superscript"/>
        </w:rPr>
        <w:footnoteReference w:id="93"/>
      </w:r>
      <w:r>
        <w:rPr>
          <w:color w:val="000000"/>
        </w:rPr>
        <w:t xml:space="preserve">, are also </w:t>
      </w:r>
      <w:proofErr w:type="gramStart"/>
      <w:r>
        <w:rPr>
          <w:color w:val="000000"/>
        </w:rPr>
        <w:t>welcome;</w:t>
      </w:r>
      <w:proofErr w:type="gramEnd"/>
    </w:p>
    <w:p w14:paraId="2AFFEE44" w14:textId="77777777" w:rsidR="00056AEE" w:rsidRDefault="00A00CB7" w:rsidP="003A38F8">
      <w:pPr>
        <w:pStyle w:val="Paragraphedeliste"/>
        <w:numPr>
          <w:ilvl w:val="0"/>
          <w:numId w:val="28"/>
        </w:numPr>
      </w:pPr>
      <w:r>
        <w:rPr>
          <w:color w:val="000000"/>
        </w:rPr>
        <w:t xml:space="preserve">Specifically address health equity and the principles of </w:t>
      </w:r>
      <w:proofErr w:type="gramStart"/>
      <w:r>
        <w:rPr>
          <w:color w:val="000000"/>
        </w:rPr>
        <w:t>UHC;</w:t>
      </w:r>
      <w:proofErr w:type="gramEnd"/>
    </w:p>
    <w:p w14:paraId="3764645F" w14:textId="77777777" w:rsidR="00056AEE" w:rsidRDefault="00A00CB7" w:rsidP="003A38F8">
      <w:pPr>
        <w:pStyle w:val="Paragraphedeliste"/>
        <w:numPr>
          <w:ilvl w:val="0"/>
          <w:numId w:val="28"/>
        </w:numPr>
      </w:pPr>
      <w:r>
        <w:rPr>
          <w:color w:val="000000"/>
        </w:rPr>
        <w:t xml:space="preserve">Engage an appropriately expert and skilled research team which can ensure a suitable multidisciplinary approach and that demonstrates equitable partnership and shared leadership between HIC-LMIC, and/or non-Indigenous-Indigenous members of the project team and external stakeholders through a clear governance </w:t>
      </w:r>
      <w:proofErr w:type="gramStart"/>
      <w:r>
        <w:rPr>
          <w:color w:val="000000"/>
        </w:rPr>
        <w:t>strategy;</w:t>
      </w:r>
      <w:proofErr w:type="gramEnd"/>
    </w:p>
    <w:p w14:paraId="216B56CC" w14:textId="77777777" w:rsidR="00056AEE" w:rsidRDefault="00A00CB7" w:rsidP="003A38F8">
      <w:pPr>
        <w:pStyle w:val="Paragraphedeliste"/>
        <w:numPr>
          <w:ilvl w:val="0"/>
          <w:numId w:val="28"/>
        </w:numPr>
      </w:pPr>
      <w:r>
        <w:rPr>
          <w:color w:val="000000"/>
        </w:rPr>
        <w:t xml:space="preserve">Provide a stakeholder engagement strategy with evidence of support/engagement from key stakeholders for delivering patient-centred </w:t>
      </w:r>
      <w:proofErr w:type="gramStart"/>
      <w:r>
        <w:rPr>
          <w:color w:val="000000"/>
        </w:rPr>
        <w:t>care;</w:t>
      </w:r>
      <w:proofErr w:type="gramEnd"/>
    </w:p>
    <w:p w14:paraId="2DED921F" w14:textId="77777777" w:rsidR="00056AEE" w:rsidRDefault="00A00CB7" w:rsidP="003A38F8">
      <w:pPr>
        <w:pStyle w:val="Paragraphedeliste"/>
        <w:numPr>
          <w:ilvl w:val="0"/>
          <w:numId w:val="28"/>
        </w:numPr>
      </w:pPr>
      <w:r>
        <w:rPr>
          <w:color w:val="000000"/>
        </w:rPr>
        <w:t xml:space="preserve">Ensure that project partners are engaged from the beginning to contribute to the sustainability of the intervention after the end of project. Proposals should demonstrate sustainability of the strategy, beyond the lifespan of the </w:t>
      </w:r>
      <w:proofErr w:type="gramStart"/>
      <w:r>
        <w:rPr>
          <w:color w:val="000000"/>
        </w:rPr>
        <w:t>project;</w:t>
      </w:r>
      <w:proofErr w:type="gramEnd"/>
    </w:p>
    <w:p w14:paraId="0E0B8A14" w14:textId="77777777" w:rsidR="00056AEE" w:rsidRDefault="00A00CB7" w:rsidP="003A38F8">
      <w:pPr>
        <w:pStyle w:val="Paragraphedeliste"/>
        <w:numPr>
          <w:ilvl w:val="0"/>
          <w:numId w:val="28"/>
        </w:numPr>
      </w:pPr>
      <w:r>
        <w:rPr>
          <w:color w:val="000000"/>
        </w:rPr>
        <w:t xml:space="preserve">Provide opportunities for implementation research capacity building for early career researchers and team members from lower resourced environments, such as LMICs or disadvantaged </w:t>
      </w:r>
      <w:proofErr w:type="gramStart"/>
      <w:r>
        <w:rPr>
          <w:color w:val="000000"/>
        </w:rPr>
        <w:t>communities;</w:t>
      </w:r>
      <w:proofErr w:type="gramEnd"/>
    </w:p>
    <w:p w14:paraId="6BBCDA6F" w14:textId="77777777" w:rsidR="00056AEE" w:rsidRDefault="00A00CB7" w:rsidP="003A38F8">
      <w:pPr>
        <w:pStyle w:val="Paragraphedeliste"/>
        <w:numPr>
          <w:ilvl w:val="0"/>
          <w:numId w:val="28"/>
        </w:numPr>
      </w:pPr>
      <w:r>
        <w:rPr>
          <w:color w:val="000000"/>
        </w:rPr>
        <w:t xml:space="preserve">Ensure meaningful involvement of early career team members, including at least one early career member as a co-investigator. </w:t>
      </w:r>
    </w:p>
    <w:p w14:paraId="4714C4DE" w14:textId="77777777" w:rsidR="00056AEE" w:rsidRDefault="00A00CB7">
      <w:r>
        <w:rPr>
          <w:color w:val="000000"/>
        </w:rPr>
        <w:t xml:space="preserve">The study population may include the general population, people with one or more existing NCDs, those currently without NCDs, or a combination of both. The study population may also include patients with NCDs and chronic infectious disease(s) (e.g., studies that focus on integrating NCD management into an HIV or tuberculosis clinic). </w:t>
      </w:r>
      <w:proofErr w:type="gramStart"/>
      <w:r>
        <w:rPr>
          <w:color w:val="000000"/>
        </w:rPr>
        <w:t>With regard to</w:t>
      </w:r>
      <w:proofErr w:type="gramEnd"/>
      <w:r>
        <w:rPr>
          <w:color w:val="000000"/>
        </w:rPr>
        <w:t xml:space="preserve"> NCDs, </w:t>
      </w:r>
      <w:r>
        <w:rPr>
          <w:color w:val="000000"/>
        </w:rPr>
        <w:lastRenderedPageBreak/>
        <w:t>applicants are encouraged to explore any chronic non-communicable condition (or combination of conditions), including mental health disorders, neurological disorders and sleep disorders.</w:t>
      </w:r>
    </w:p>
    <w:p w14:paraId="02D14BE6" w14:textId="77777777" w:rsidR="00056AEE" w:rsidRDefault="00A00CB7">
      <w:r>
        <w:rPr>
          <w:color w:val="000000"/>
        </w:rPr>
        <w:t>Proposals are expected to use an appropriate implementation research design and frameworks for feasibility studies, cluster randomised control trials (</w:t>
      </w:r>
      <w:proofErr w:type="spellStart"/>
      <w:r>
        <w:rPr>
          <w:color w:val="000000"/>
        </w:rPr>
        <w:t>cRCTs</w:t>
      </w:r>
      <w:proofErr w:type="spellEnd"/>
      <w:r>
        <w:rPr>
          <w:color w:val="000000"/>
        </w:rPr>
        <w:t>), before and after studies, and additional implementation science classifications of study designs (e.g. hybrid designs).</w:t>
      </w:r>
    </w:p>
    <w:p w14:paraId="32596277" w14:textId="77777777" w:rsidR="00056AEE" w:rsidRDefault="00A00CB7">
      <w:r>
        <w:rPr>
          <w:color w:val="000000"/>
        </w:rPr>
        <w:t>Examples of frameworks include (this list is not exclusive):</w:t>
      </w:r>
    </w:p>
    <w:p w14:paraId="2A2333A5" w14:textId="77777777" w:rsidR="00056AEE" w:rsidRDefault="00A00CB7" w:rsidP="003A38F8">
      <w:pPr>
        <w:pStyle w:val="Paragraphedeliste"/>
        <w:numPr>
          <w:ilvl w:val="0"/>
          <w:numId w:val="29"/>
        </w:numPr>
      </w:pPr>
      <w:r>
        <w:rPr>
          <w:color w:val="000000"/>
        </w:rPr>
        <w:t>Consolidated Framework for Implementation Research (CFIR</w:t>
      </w:r>
      <w:proofErr w:type="gramStart"/>
      <w:r>
        <w:rPr>
          <w:color w:val="000000"/>
        </w:rPr>
        <w:t>);</w:t>
      </w:r>
      <w:proofErr w:type="gramEnd"/>
    </w:p>
    <w:p w14:paraId="23810534" w14:textId="77777777" w:rsidR="00056AEE" w:rsidRDefault="00A00CB7" w:rsidP="003A38F8">
      <w:pPr>
        <w:pStyle w:val="Paragraphedeliste"/>
        <w:numPr>
          <w:ilvl w:val="0"/>
          <w:numId w:val="29"/>
        </w:numPr>
      </w:pPr>
      <w:r>
        <w:rPr>
          <w:color w:val="000000"/>
        </w:rPr>
        <w:t>the context enhanced (RE-AIM) Reach, Effectiveness, Adoption, Implementation, Maintenance</w:t>
      </w:r>
      <w:proofErr w:type="gramStart"/>
      <w:r>
        <w:rPr>
          <w:color w:val="000000"/>
        </w:rPr>
        <w:t>);</w:t>
      </w:r>
      <w:proofErr w:type="gramEnd"/>
    </w:p>
    <w:p w14:paraId="27B16193" w14:textId="77777777" w:rsidR="00056AEE" w:rsidRDefault="00A00CB7" w:rsidP="003A38F8">
      <w:pPr>
        <w:pStyle w:val="Paragraphedeliste"/>
        <w:numPr>
          <w:ilvl w:val="0"/>
          <w:numId w:val="29"/>
        </w:numPr>
      </w:pPr>
      <w:r>
        <w:rPr>
          <w:color w:val="000000"/>
        </w:rPr>
        <w:t xml:space="preserve">Practical Robust Implementation and Sustainability Model (PRISM) frameworks. </w:t>
      </w:r>
    </w:p>
    <w:p w14:paraId="5AF91B65" w14:textId="77777777" w:rsidR="00056AEE" w:rsidRDefault="00A00CB7">
      <w:r>
        <w:rPr>
          <w:color w:val="000000"/>
        </w:rPr>
        <w:t>The following are potential interventions or strategies that applicants may consider in their implementation plan (please note that this is not an exhaustive list):</w:t>
      </w:r>
    </w:p>
    <w:p w14:paraId="219CC71D" w14:textId="77777777" w:rsidR="00056AEE" w:rsidRDefault="00A00CB7" w:rsidP="003A38F8">
      <w:pPr>
        <w:pStyle w:val="Paragraphedeliste"/>
        <w:numPr>
          <w:ilvl w:val="0"/>
          <w:numId w:val="30"/>
        </w:numPr>
      </w:pPr>
      <w:r>
        <w:rPr>
          <w:color w:val="000000"/>
        </w:rPr>
        <w:t xml:space="preserve">Strengthening within the workforce </w:t>
      </w:r>
      <w:proofErr w:type="gramStart"/>
      <w:r>
        <w:rPr>
          <w:color w:val="000000"/>
        </w:rPr>
        <w:t>including:</w:t>
      </w:r>
      <w:proofErr w:type="gramEnd"/>
      <w:r>
        <w:rPr>
          <w:color w:val="000000"/>
        </w:rPr>
        <w:t xml:space="preserve"> training; task shifting within healthcare services; multi-disciplinary teams; community outreach; and the care continuum;</w:t>
      </w:r>
    </w:p>
    <w:p w14:paraId="168F59B6" w14:textId="77777777" w:rsidR="00056AEE" w:rsidRDefault="00A00CB7" w:rsidP="003A38F8">
      <w:pPr>
        <w:pStyle w:val="Paragraphedeliste"/>
        <w:numPr>
          <w:ilvl w:val="0"/>
          <w:numId w:val="30"/>
        </w:numPr>
      </w:pPr>
      <w:r>
        <w:rPr>
          <w:color w:val="000000"/>
        </w:rPr>
        <w:t xml:space="preserve">Changes in health or related facilities, including relationships, engagement and linkages between facility levels (primary, secondary, tertiary), regional specialist care, pharmacies, and community </w:t>
      </w:r>
      <w:proofErr w:type="gramStart"/>
      <w:r>
        <w:rPr>
          <w:color w:val="000000"/>
        </w:rPr>
        <w:t>healthcare;</w:t>
      </w:r>
      <w:proofErr w:type="gramEnd"/>
    </w:p>
    <w:p w14:paraId="14715B1C" w14:textId="77777777" w:rsidR="00056AEE" w:rsidRDefault="00A00CB7" w:rsidP="003A38F8">
      <w:pPr>
        <w:pStyle w:val="Paragraphedeliste"/>
        <w:numPr>
          <w:ilvl w:val="0"/>
          <w:numId w:val="30"/>
        </w:numPr>
      </w:pPr>
      <w:r>
        <w:rPr>
          <w:color w:val="000000"/>
        </w:rPr>
        <w:t>Digital or information technologies in health systems to improve condition management; shared records; coordination in continuum of care; self-management</w:t>
      </w:r>
      <w:r>
        <w:rPr>
          <w:vertAlign w:val="superscript"/>
        </w:rPr>
        <w:footnoteReference w:id="94"/>
      </w:r>
      <w:r>
        <w:rPr>
          <w:color w:val="000000"/>
        </w:rPr>
        <w:t xml:space="preserve"> and equitable health </w:t>
      </w:r>
      <w:proofErr w:type="gramStart"/>
      <w:r>
        <w:rPr>
          <w:color w:val="000000"/>
        </w:rPr>
        <w:t>outcomes;</w:t>
      </w:r>
      <w:proofErr w:type="gramEnd"/>
    </w:p>
    <w:p w14:paraId="5BC0F94B" w14:textId="77777777" w:rsidR="00056AEE" w:rsidRDefault="00A00CB7" w:rsidP="003A38F8">
      <w:pPr>
        <w:pStyle w:val="Paragraphedeliste"/>
        <w:numPr>
          <w:ilvl w:val="0"/>
          <w:numId w:val="30"/>
        </w:numPr>
      </w:pPr>
      <w:r>
        <w:rPr>
          <w:color w:val="000000"/>
        </w:rPr>
        <w:t xml:space="preserve">Implementation of new technologies, innovations for screening, earlier diagnosis and better management of </w:t>
      </w:r>
      <w:proofErr w:type="gramStart"/>
      <w:r>
        <w:rPr>
          <w:color w:val="000000"/>
        </w:rPr>
        <w:t>NCDs;</w:t>
      </w:r>
      <w:proofErr w:type="gramEnd"/>
    </w:p>
    <w:p w14:paraId="15288DF6" w14:textId="77777777" w:rsidR="00056AEE" w:rsidRDefault="00A00CB7" w:rsidP="003A38F8">
      <w:pPr>
        <w:pStyle w:val="Paragraphedeliste"/>
        <w:numPr>
          <w:ilvl w:val="0"/>
          <w:numId w:val="30"/>
        </w:numPr>
      </w:pPr>
      <w:r>
        <w:rPr>
          <w:color w:val="000000"/>
        </w:rPr>
        <w:t>Ensuring equitable access to good quality medicines (priority medicine lists and financing, monitoring; procurement and distribution; charging and fees</w:t>
      </w:r>
      <w:proofErr w:type="gramStart"/>
      <w:r>
        <w:rPr>
          <w:color w:val="000000"/>
        </w:rPr>
        <w:t>);</w:t>
      </w:r>
      <w:proofErr w:type="gramEnd"/>
    </w:p>
    <w:p w14:paraId="4FDAD66E" w14:textId="77777777" w:rsidR="00056AEE" w:rsidRDefault="00A00CB7" w:rsidP="003A38F8">
      <w:pPr>
        <w:pStyle w:val="Paragraphedeliste"/>
        <w:numPr>
          <w:ilvl w:val="0"/>
          <w:numId w:val="30"/>
        </w:numPr>
      </w:pPr>
      <w:r>
        <w:rPr>
          <w:color w:val="000000"/>
        </w:rPr>
        <w:t xml:space="preserve">Health policy entrepreneurship linked to solving or capitalizing a policy or practice issues/innovations that have a clear link with service delivery or health promotion with NCDs. </w:t>
      </w:r>
    </w:p>
    <w:p w14:paraId="19611F6B" w14:textId="77777777" w:rsidR="00056AEE" w:rsidRDefault="00A00CB7">
      <w:r>
        <w:rPr>
          <w:color w:val="000000"/>
        </w:rPr>
        <w:t xml:space="preserve">Applicants are not limited to use any particular </w:t>
      </w:r>
      <w:proofErr w:type="gramStart"/>
      <w:r>
        <w:rPr>
          <w:color w:val="000000"/>
        </w:rPr>
        <w:t>design,</w:t>
      </w:r>
      <w:proofErr w:type="gramEnd"/>
      <w:r>
        <w:rPr>
          <w:color w:val="000000"/>
        </w:rPr>
        <w:t xml:space="preserve"> however a validated implementation research framework should underpin the study.</w:t>
      </w:r>
    </w:p>
    <w:p w14:paraId="3DFEFD19" w14:textId="77777777" w:rsidR="00056AEE" w:rsidRDefault="00A00CB7">
      <w:r>
        <w:rPr>
          <w:color w:val="000000"/>
        </w:rPr>
        <w:t xml:space="preserve">Proposals would be expected to generate evidence that is of direct relevance to policymakers, communities and practitioners. Also, proposals will require a strategy to include the relevant policymakers, local authorities, as well as other stakeholders such as community groups, or </w:t>
      </w:r>
      <w:r>
        <w:rPr>
          <w:color w:val="000000"/>
        </w:rPr>
        <w:lastRenderedPageBreak/>
        <w:t>other individuals or organisations involved in the implementation of the intervention, with co-creation from the development of the project through to the implementation knowledge translation phase. Applicants should also provide a clear plan for continuing to engage with stakeholders.</w:t>
      </w:r>
    </w:p>
    <w:p w14:paraId="7A408EE1" w14:textId="77777777" w:rsidR="00056AEE" w:rsidRDefault="00A00CB7">
      <w:r>
        <w:rPr>
          <w:color w:val="000000"/>
        </w:rPr>
        <w:t>Stakeholders also include patients, their family members and carers. Their contributions should be nurtured through meaningful engagement from the outset, not only as participants in the research undertaken. Patient engagement throughout the research project is critical to developing patient-centred models of care.</w:t>
      </w:r>
    </w:p>
    <w:p w14:paraId="19B65609" w14:textId="77777777" w:rsidR="00056AEE" w:rsidRDefault="00A00CB7">
      <w:r>
        <w:rPr>
          <w:color w:val="000000"/>
        </w:rPr>
        <w:t>All stakeholders should be engaged at every stage of the research project, from initial ideation of research questions, throughout the duration of the project, and afterwards during the knowledge translation phase. It is also important to include stakeholders who can help sustain the project’s implementation, facilitate scale up, and use the knowledge generated from the project after the grant ends.</w:t>
      </w:r>
    </w:p>
    <w:p w14:paraId="030F5A56" w14:textId="77777777" w:rsidR="00056AEE" w:rsidRDefault="00A00CB7">
      <w:r>
        <w:rPr>
          <w:color w:val="000000"/>
        </w:rPr>
        <w:t>Poverty, racism, ethnic discrimination, and other inequities are directly associated with reduced potential for equitable access to quality care. Proposals should consider the social determinants of health and discuss their potential impact on the effective implementation of the intervention(s). If there is a focus on a particular population (e.g., gender, race and/or ethnicity), then the reason for this should be justified.</w:t>
      </w:r>
    </w:p>
    <w:p w14:paraId="7F093828" w14:textId="77777777" w:rsidR="00056AEE" w:rsidRDefault="00A00CB7">
      <w:proofErr w:type="gramStart"/>
      <w:r>
        <w:rPr>
          <w:color w:val="000000"/>
        </w:rPr>
        <w:t>In order to</w:t>
      </w:r>
      <w:proofErr w:type="gramEnd"/>
      <w:r>
        <w:rPr>
          <w:color w:val="000000"/>
        </w:rPr>
        <w:t xml:space="preserve"> promote health equity, proposals should aim to address differences in intervention access, uptake, and effectiveness in socially disadvantaged groups and develop strategies for reducing inequities. To facilitate this process at the data analysis stage, studies should be designed to address such differences. At a minimum, studies should capture sex and/or gender differences. If feasible, a plan for capturing intersectional impacts on health outcomes should be included in the analysis strategy.</w:t>
      </w:r>
    </w:p>
    <w:p w14:paraId="1FBC491A" w14:textId="77777777" w:rsidR="00056AEE" w:rsidRDefault="00A00CB7">
      <w:r>
        <w:rPr>
          <w:color w:val="000000"/>
        </w:rPr>
        <w:t xml:space="preserve">This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154D2A83" w14:textId="77777777" w:rsidR="00056AEE" w:rsidRDefault="00A00CB7">
      <w:r>
        <w:rPr>
          <w:color w:val="000000"/>
        </w:rPr>
        <w:t>All proposals funded under this topic are strongly encouraged to participate in networking and joint activities, including internationally, as appropriate. These activities could, for example, involve the participation in joint workshops, the Annual Scientific Meetings of the GACD, the exchange of knowledge, the development and adoption of best practices, or joint communication activities. Therefore, proposals are expected to include a budget for such activities and may consider covering the costs of any other potential joint activities without the prerequisite to detail concrete joint activities at this stage. The details of these joint activities will be defined during the grant agreement preparation phase.</w:t>
      </w:r>
    </w:p>
    <w:p w14:paraId="4C64A2AE"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4BC1C4CD" w14:textId="77777777" w:rsidR="00056AEE" w:rsidRDefault="00A00CB7">
      <w:pPr>
        <w:pStyle w:val="HeadingThree"/>
      </w:pPr>
      <w:bookmarkStart w:id="21" w:name="_Toc171689868"/>
      <w:r>
        <w:lastRenderedPageBreak/>
        <w:t>HORIZON-HLTH-2025-02-DISEASE-01: European Partnership for Brain Health</w:t>
      </w:r>
      <w:bookmarkEnd w:id="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3A38F8" w14:paraId="7D3DE0C5" w14:textId="77777777" w:rsidTr="003A38F8">
        <w:tc>
          <w:tcPr>
            <w:tcW w:w="0" w:type="auto"/>
            <w:gridSpan w:val="2"/>
          </w:tcPr>
          <w:p w14:paraId="63A7D346" w14:textId="77777777" w:rsidR="00056AEE" w:rsidRDefault="00A00CB7">
            <w:pPr>
              <w:pStyle w:val="CellTextValue"/>
            </w:pPr>
            <w:r>
              <w:rPr>
                <w:b/>
              </w:rPr>
              <w:t>Call: Partnerships in Health - European Partnership for Brain Health (2025)</w:t>
            </w:r>
          </w:p>
        </w:tc>
      </w:tr>
      <w:tr w:rsidR="003A38F8" w14:paraId="5CCF63C0" w14:textId="77777777" w:rsidTr="003A38F8">
        <w:tc>
          <w:tcPr>
            <w:tcW w:w="0" w:type="auto"/>
            <w:gridSpan w:val="2"/>
          </w:tcPr>
          <w:p w14:paraId="49E4CE3E" w14:textId="77777777" w:rsidR="00056AEE" w:rsidRDefault="00A00CB7">
            <w:pPr>
              <w:pStyle w:val="CellTextValue"/>
            </w:pPr>
            <w:r>
              <w:rPr>
                <w:b/>
              </w:rPr>
              <w:t>Specific conditions</w:t>
            </w:r>
          </w:p>
        </w:tc>
      </w:tr>
      <w:tr w:rsidR="00056AEE" w14:paraId="491A1F21" w14:textId="77777777">
        <w:tc>
          <w:tcPr>
            <w:tcW w:w="0" w:type="auto"/>
          </w:tcPr>
          <w:p w14:paraId="1B32AAAC" w14:textId="77777777" w:rsidR="00056AEE" w:rsidRDefault="00A00CB7">
            <w:pPr>
              <w:pStyle w:val="CellTextValue"/>
              <w:jc w:val="left"/>
            </w:pPr>
            <w:r>
              <w:rPr>
                <w:i/>
              </w:rPr>
              <w:t>Expected EU contribution per project</w:t>
            </w:r>
          </w:p>
        </w:tc>
        <w:tc>
          <w:tcPr>
            <w:tcW w:w="0" w:type="auto"/>
          </w:tcPr>
          <w:p w14:paraId="01CA4DDF" w14:textId="77777777" w:rsidR="00056AEE" w:rsidRDefault="00A00CB7">
            <w:pPr>
              <w:pStyle w:val="CellTextValue"/>
            </w:pPr>
            <w:r>
              <w:t>The Commission estimates that an EU contribution of around EUR 150.00 million would allow these outcomes to be addressed appropriately. Nonetheless, this does not preclude submission and selection of a proposal requesting different amounts.</w:t>
            </w:r>
          </w:p>
        </w:tc>
      </w:tr>
      <w:tr w:rsidR="00056AEE" w14:paraId="31EAC606" w14:textId="77777777">
        <w:tc>
          <w:tcPr>
            <w:tcW w:w="0" w:type="auto"/>
          </w:tcPr>
          <w:p w14:paraId="0A291AE6" w14:textId="77777777" w:rsidR="00056AEE" w:rsidRDefault="00A00CB7">
            <w:pPr>
              <w:pStyle w:val="CellTextValue"/>
              <w:jc w:val="left"/>
            </w:pPr>
            <w:r>
              <w:rPr>
                <w:i/>
              </w:rPr>
              <w:t>Indicative budget</w:t>
            </w:r>
          </w:p>
        </w:tc>
        <w:tc>
          <w:tcPr>
            <w:tcW w:w="0" w:type="auto"/>
          </w:tcPr>
          <w:p w14:paraId="65F98EDE" w14:textId="77777777" w:rsidR="00056AEE" w:rsidRDefault="00A00CB7">
            <w:pPr>
              <w:pStyle w:val="CellTextValue"/>
            </w:pPr>
            <w:r>
              <w:t>The total indicative budget for the topic is EUR 150.00 million.</w:t>
            </w:r>
          </w:p>
        </w:tc>
      </w:tr>
      <w:tr w:rsidR="00056AEE" w14:paraId="4F8CB97D" w14:textId="77777777">
        <w:tc>
          <w:tcPr>
            <w:tcW w:w="0" w:type="auto"/>
          </w:tcPr>
          <w:p w14:paraId="16BB92D3" w14:textId="77777777" w:rsidR="00056AEE" w:rsidRDefault="00A00CB7">
            <w:pPr>
              <w:pStyle w:val="CellTextValue"/>
              <w:jc w:val="left"/>
            </w:pPr>
            <w:r>
              <w:rPr>
                <w:i/>
              </w:rPr>
              <w:t>Type of Action</w:t>
            </w:r>
          </w:p>
        </w:tc>
        <w:tc>
          <w:tcPr>
            <w:tcW w:w="0" w:type="auto"/>
          </w:tcPr>
          <w:p w14:paraId="34FC566F" w14:textId="77777777" w:rsidR="00056AEE" w:rsidRDefault="00A00CB7">
            <w:pPr>
              <w:pStyle w:val="CellTextValue"/>
            </w:pPr>
            <w:r>
              <w:rPr>
                <w:color w:val="000000"/>
              </w:rPr>
              <w:t>Programme Co-fund Action</w:t>
            </w:r>
          </w:p>
        </w:tc>
      </w:tr>
      <w:tr w:rsidR="00056AEE" w14:paraId="3FB79EAB" w14:textId="77777777">
        <w:tc>
          <w:tcPr>
            <w:tcW w:w="0" w:type="auto"/>
          </w:tcPr>
          <w:p w14:paraId="64B4D017" w14:textId="77777777" w:rsidR="00056AEE" w:rsidRDefault="00A00CB7">
            <w:pPr>
              <w:pStyle w:val="CellTextValue"/>
              <w:jc w:val="left"/>
            </w:pPr>
            <w:r>
              <w:rPr>
                <w:i/>
              </w:rPr>
              <w:t>Eligibility conditions</w:t>
            </w:r>
          </w:p>
        </w:tc>
        <w:tc>
          <w:tcPr>
            <w:tcW w:w="0" w:type="auto"/>
          </w:tcPr>
          <w:p w14:paraId="07A000D7" w14:textId="77777777" w:rsidR="00056AEE" w:rsidRDefault="00A00CB7">
            <w:pPr>
              <w:pStyle w:val="CellTextValue"/>
            </w:pPr>
            <w:r>
              <w:rPr>
                <w:color w:val="000000"/>
              </w:rPr>
              <w:t>The conditions are described in General Annex B. The following exceptions apply:</w:t>
            </w:r>
          </w:p>
          <w:p w14:paraId="204CDC99"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056AEE" w14:paraId="25F54BAA" w14:textId="77777777">
        <w:tc>
          <w:tcPr>
            <w:tcW w:w="0" w:type="auto"/>
          </w:tcPr>
          <w:p w14:paraId="024ECBBC" w14:textId="77777777" w:rsidR="00056AEE" w:rsidRDefault="00A00CB7">
            <w:pPr>
              <w:pStyle w:val="CellTextValue"/>
              <w:jc w:val="left"/>
            </w:pPr>
            <w:r>
              <w:rPr>
                <w:i/>
              </w:rPr>
              <w:t>Award criteria</w:t>
            </w:r>
          </w:p>
        </w:tc>
        <w:tc>
          <w:tcPr>
            <w:tcW w:w="0" w:type="auto"/>
          </w:tcPr>
          <w:p w14:paraId="23EA94F6" w14:textId="77777777" w:rsidR="00056AEE" w:rsidRDefault="00A00CB7">
            <w:pPr>
              <w:pStyle w:val="CellTextValue"/>
            </w:pPr>
            <w:r>
              <w:rPr>
                <w:color w:val="000000"/>
              </w:rPr>
              <w:t>The criteria are described in General Annex D. The following exceptions apply:</w:t>
            </w:r>
          </w:p>
          <w:p w14:paraId="7961548B" w14:textId="77777777" w:rsidR="00056AEE" w:rsidRDefault="00A00CB7">
            <w:pPr>
              <w:pStyle w:val="CellTextValue"/>
            </w:pPr>
            <w:r>
              <w:rPr>
                <w:color w:val="000000"/>
              </w:rPr>
              <w:t>The thresholds for each criterion will be 4 (Excellence), 4 (Impact) and 4 (Implementation). The cumulative threshold will be 12.</w:t>
            </w:r>
          </w:p>
        </w:tc>
      </w:tr>
      <w:tr w:rsidR="00056AEE" w14:paraId="3C6EC450" w14:textId="77777777">
        <w:tc>
          <w:tcPr>
            <w:tcW w:w="0" w:type="auto"/>
          </w:tcPr>
          <w:p w14:paraId="4E647347" w14:textId="77777777" w:rsidR="00056AEE" w:rsidRDefault="00A00CB7">
            <w:pPr>
              <w:pStyle w:val="CellTextValue"/>
              <w:jc w:val="left"/>
            </w:pPr>
            <w:r>
              <w:rPr>
                <w:i/>
              </w:rPr>
              <w:t>Legal and financial set-up of the Grant Agreements</w:t>
            </w:r>
          </w:p>
        </w:tc>
        <w:tc>
          <w:tcPr>
            <w:tcW w:w="0" w:type="auto"/>
          </w:tcPr>
          <w:p w14:paraId="7EA73F4F" w14:textId="77777777" w:rsidR="00056AEE" w:rsidRDefault="00A00CB7">
            <w:pPr>
              <w:pStyle w:val="CellTextValue"/>
            </w:pPr>
            <w:r>
              <w:rPr>
                <w:color w:val="000000"/>
              </w:rPr>
              <w:t>The rules are described in General Annex G. The following exceptions apply:</w:t>
            </w:r>
          </w:p>
          <w:p w14:paraId="7134B5B4" w14:textId="77777777" w:rsidR="00056AEE" w:rsidRDefault="00A00CB7">
            <w:pPr>
              <w:pStyle w:val="CellTextValue"/>
            </w:pPr>
            <w:r>
              <w:rPr>
                <w:color w:val="000000"/>
              </w:rPr>
              <w:t xml:space="preserve">Beneficiaries may provide financial support to third parties. The support to third parties can only be provided in the form of grants. Financial support provided by the participants to third parties is one of the primary activities of the action </w:t>
            </w:r>
            <w:proofErr w:type="gramStart"/>
            <w:r>
              <w:rPr>
                <w:color w:val="000000"/>
              </w:rPr>
              <w:t>in order to</w:t>
            </w:r>
            <w:proofErr w:type="gramEnd"/>
            <w:r>
              <w:rPr>
                <w:color w:val="000000"/>
              </w:rPr>
              <w:t xml:space="preserve"> be able to achieve its objectives. Given the type of action and its level of ambition, the maximum amount to be granted to each third party is EUR 10.00 million.</w:t>
            </w:r>
          </w:p>
          <w:p w14:paraId="0E2BABE9" w14:textId="77777777" w:rsidR="00056AEE" w:rsidRDefault="00A00CB7">
            <w:pPr>
              <w:pStyle w:val="CellTextValue"/>
            </w:pPr>
            <w:r>
              <w:rPr>
                <w:color w:val="000000"/>
              </w:rPr>
              <w:t xml:space="preserve">The funding rate is up to 50% of the eligible costs. This is justified by the nature of activities to be performed, ranging from coordinating transnational research efforts (joint calls) to other (additional) integrative activities e.g., improving access to data and services, optimising the use of and services provided by research infrastructures, as well as networking, training and dissemination activities that together contribute to enhance the brain health research and innovation </w:t>
            </w:r>
            <w:r>
              <w:rPr>
                <w:color w:val="000000"/>
              </w:rPr>
              <w:lastRenderedPageBreak/>
              <w:t>ecosystem.</w:t>
            </w:r>
          </w:p>
        </w:tc>
      </w:tr>
      <w:tr w:rsidR="00056AEE" w14:paraId="194238AD" w14:textId="77777777">
        <w:tc>
          <w:tcPr>
            <w:tcW w:w="0" w:type="auto"/>
          </w:tcPr>
          <w:p w14:paraId="006E1386" w14:textId="77777777" w:rsidR="00056AEE" w:rsidRDefault="00A00CB7">
            <w:pPr>
              <w:pStyle w:val="CellTextValue"/>
              <w:jc w:val="left"/>
            </w:pPr>
            <w:r>
              <w:rPr>
                <w:i/>
              </w:rPr>
              <w:lastRenderedPageBreak/>
              <w:t>Total indicative budget</w:t>
            </w:r>
          </w:p>
        </w:tc>
        <w:tc>
          <w:tcPr>
            <w:tcW w:w="0" w:type="auto"/>
          </w:tcPr>
          <w:p w14:paraId="19EFA2B8" w14:textId="77777777" w:rsidR="00056AEE" w:rsidRDefault="00A00CB7">
            <w:pPr>
              <w:pStyle w:val="CellTextValue"/>
            </w:pPr>
            <w:r>
              <w:rPr>
                <w:color w:val="000000"/>
              </w:rPr>
              <w:t>The total indicative budget for the topic is EUR 150 million committed in annual instalments over the 3 years, 2025-2027 (EUR 30 million from the 2025 budget, EUR 70 million from the 2026 budget and EUR 50 million from the 2027 budget).</w:t>
            </w:r>
          </w:p>
        </w:tc>
      </w:tr>
    </w:tbl>
    <w:p w14:paraId="1C84FCEF" w14:textId="77777777" w:rsidR="00056AEE" w:rsidRDefault="00056AEE">
      <w:pPr>
        <w:spacing w:after="0" w:line="150" w:lineRule="auto"/>
      </w:pPr>
    </w:p>
    <w:p w14:paraId="34E821DF"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48683D51" w14:textId="77777777" w:rsidR="00056AEE" w:rsidRDefault="00A00CB7" w:rsidP="003A38F8">
      <w:pPr>
        <w:pStyle w:val="Paragraphedeliste"/>
        <w:numPr>
          <w:ilvl w:val="0"/>
          <w:numId w:val="31"/>
        </w:numPr>
      </w:pPr>
      <w:r>
        <w:rPr>
          <w:color w:val="000000"/>
        </w:rPr>
        <w:t>The position of the EU and Associated Countries is strengthened as an internationally recognised driver of research and innovation on brain health</w:t>
      </w:r>
      <w:r>
        <w:rPr>
          <w:vertAlign w:val="superscript"/>
        </w:rPr>
        <w:footnoteReference w:id="95"/>
      </w:r>
      <w:r>
        <w:rPr>
          <w:color w:val="000000"/>
        </w:rPr>
        <w:t>, thereby contributing to the achievement of the Sustainable Development Goals related to neurological and mental health.</w:t>
      </w:r>
    </w:p>
    <w:p w14:paraId="620531B1" w14:textId="77777777" w:rsidR="00056AEE" w:rsidRDefault="00A00CB7" w:rsidP="003A38F8">
      <w:pPr>
        <w:pStyle w:val="Paragraphedeliste"/>
        <w:numPr>
          <w:ilvl w:val="0"/>
          <w:numId w:val="31"/>
        </w:numPr>
      </w:pPr>
      <w:r>
        <w:rPr>
          <w:color w:val="000000"/>
        </w:rPr>
        <w:t>Research funders align, adopt and implement their brain health research policies allowing for the optimal generation and translation of knowledge into tailored health products and interventions to (</w:t>
      </w:r>
      <w:proofErr w:type="spellStart"/>
      <w:r>
        <w:rPr>
          <w:color w:val="000000"/>
        </w:rPr>
        <w:t>i</w:t>
      </w:r>
      <w:proofErr w:type="spellEnd"/>
      <w:r>
        <w:rPr>
          <w:color w:val="000000"/>
        </w:rPr>
        <w:t>) promote brain health throughout the lifetime, (ii) prevent neurological and mental disorders, and (iii) improve diagnosis, treatment and care to enhance the quality of life of those living with brain disorders, as well as their caregivers, whilst also considering cultural, ethical, legal and social aspects.</w:t>
      </w:r>
    </w:p>
    <w:p w14:paraId="7C502C9D" w14:textId="77777777" w:rsidR="00056AEE" w:rsidRDefault="00A00CB7" w:rsidP="003A38F8">
      <w:pPr>
        <w:pStyle w:val="Paragraphedeliste"/>
        <w:numPr>
          <w:ilvl w:val="0"/>
          <w:numId w:val="31"/>
        </w:numPr>
      </w:pPr>
      <w:r>
        <w:rPr>
          <w:color w:val="000000"/>
        </w:rPr>
        <w:t>Research funders, policymakers, relevant agencies and authorities, researchers, innovators, citizens, people living with brain disorders and their caregivers and advocates enhance their collaboration forming a strong, structured and integrated research and innovation ecosystem with shared evidence, tools and methodologies cutting across sectors.</w:t>
      </w:r>
    </w:p>
    <w:p w14:paraId="2ACC70A8" w14:textId="77777777" w:rsidR="00056AEE" w:rsidRDefault="00A00CB7" w:rsidP="003A38F8">
      <w:pPr>
        <w:pStyle w:val="Paragraphedeliste"/>
        <w:numPr>
          <w:ilvl w:val="0"/>
          <w:numId w:val="31"/>
        </w:numPr>
      </w:pPr>
      <w:r>
        <w:rPr>
          <w:color w:val="000000"/>
        </w:rPr>
        <w:t>The brain health research community at large benefits from and uses an improved comprehensive knowledge framework integrating the EU, national/regional data and information infrastructures to improve transnational research.</w:t>
      </w:r>
    </w:p>
    <w:p w14:paraId="000AACFC" w14:textId="77777777" w:rsidR="00056AEE" w:rsidRDefault="00A00CB7" w:rsidP="003A38F8">
      <w:pPr>
        <w:pStyle w:val="Paragraphedeliste"/>
        <w:numPr>
          <w:ilvl w:val="0"/>
          <w:numId w:val="31"/>
        </w:numPr>
      </w:pPr>
      <w:r>
        <w:rPr>
          <w:color w:val="000000"/>
        </w:rPr>
        <w:t>People living with a brain disorder benefit from (</w:t>
      </w:r>
      <w:proofErr w:type="spellStart"/>
      <w:r>
        <w:rPr>
          <w:color w:val="000000"/>
        </w:rPr>
        <w:t>i</w:t>
      </w:r>
      <w:proofErr w:type="spellEnd"/>
      <w:r>
        <w:rPr>
          <w:color w:val="000000"/>
        </w:rPr>
        <w:t>) a more timely, equitable access to accurate diagnosis and tailored care and treatment options in an innovative, sustainable and high-quality healthcare system that is well integrated with the research community, and from (ii) less discrimination and stigma, and a preservation of social inclusion.</w:t>
      </w:r>
    </w:p>
    <w:p w14:paraId="349AEBC1" w14:textId="77777777" w:rsidR="00056AEE" w:rsidRDefault="00A00CB7" w:rsidP="003A38F8">
      <w:pPr>
        <w:pStyle w:val="Paragraphedeliste"/>
        <w:numPr>
          <w:ilvl w:val="0"/>
          <w:numId w:val="31"/>
        </w:numPr>
      </w:pPr>
      <w:r>
        <w:rPr>
          <w:color w:val="000000"/>
        </w:rPr>
        <w:t xml:space="preserve">Public and private actors, including civil society (e.g. Non-Governmental Organisations, charities), establish coordinated and efficient multi-stakeholder collaborations at national </w:t>
      </w:r>
      <w:r>
        <w:rPr>
          <w:color w:val="000000"/>
        </w:rPr>
        <w:lastRenderedPageBreak/>
        <w:t xml:space="preserve">level in the EU and Associated Countries, allowing for more effective basic and clinical research and enhanced translation into tailored products and interventions. </w:t>
      </w:r>
    </w:p>
    <w:p w14:paraId="36532B66" w14:textId="77777777" w:rsidR="00056AEE" w:rsidRDefault="00A00CB7">
      <w:r>
        <w:rPr>
          <w:u w:val="single"/>
        </w:rPr>
        <w:t>Scope</w:t>
      </w:r>
      <w:r>
        <w:t xml:space="preserve">: </w:t>
      </w:r>
      <w:r>
        <w:rPr>
          <w:color w:val="000000"/>
        </w:rPr>
        <w:t>The partnership should contribute from the research and innovation angle to priorities set in the “Healthier Together - EU Non-Communicable Diseases Initiative” (2022-2027), which includes a focus area on mental health and neurological disorders</w:t>
      </w:r>
      <w:r>
        <w:rPr>
          <w:vertAlign w:val="superscript"/>
        </w:rPr>
        <w:footnoteReference w:id="96"/>
      </w:r>
      <w:r>
        <w:rPr>
          <w:color w:val="000000"/>
        </w:rPr>
        <w:t>, as well as to the “Communication on a comprehensive approach to mental health” (</w:t>
      </w:r>
      <w:proofErr w:type="gramStart"/>
      <w:r>
        <w:rPr>
          <w:color w:val="000000"/>
        </w:rPr>
        <w:t>COM(</w:t>
      </w:r>
      <w:proofErr w:type="gramEnd"/>
      <w:r>
        <w:rPr>
          <w:color w:val="000000"/>
        </w:rPr>
        <w:t>2023) 298 final)</w:t>
      </w:r>
      <w:r>
        <w:rPr>
          <w:vertAlign w:val="superscript"/>
        </w:rPr>
        <w:footnoteReference w:id="97"/>
      </w:r>
      <w:r>
        <w:rPr>
          <w:color w:val="000000"/>
        </w:rPr>
        <w:t>.</w:t>
      </w:r>
    </w:p>
    <w:p w14:paraId="2FB4B8D4" w14:textId="77777777" w:rsidR="00056AEE" w:rsidRDefault="00A00CB7">
      <w:r>
        <w:rPr>
          <w:color w:val="000000"/>
        </w:rPr>
        <w:t>The partnership should also contribute from the research and innovation angle to achieving the objectives of the Pharmaceutical Strategy for Europe</w:t>
      </w:r>
      <w:r>
        <w:rPr>
          <w:vertAlign w:val="superscript"/>
        </w:rPr>
        <w:footnoteReference w:id="98"/>
      </w:r>
      <w:r>
        <w:rPr>
          <w:color w:val="000000"/>
        </w:rPr>
        <w:t>, in terms of fulfilling unmet medical needs (numerous in the fields of neurological and mental disorders) and to ensuring that the benefits of innovation reach patients in the EU and Associated Countries. Moreover, it should support the objectives of the EU4Health Programme</w:t>
      </w:r>
      <w:r>
        <w:rPr>
          <w:vertAlign w:val="superscript"/>
        </w:rPr>
        <w:footnoteReference w:id="99"/>
      </w:r>
      <w:r>
        <w:rPr>
          <w:color w:val="000000"/>
        </w:rPr>
        <w:t>.</w:t>
      </w:r>
    </w:p>
    <w:p w14:paraId="43236F83" w14:textId="77777777" w:rsidR="00056AEE" w:rsidRDefault="00A00CB7">
      <w:r>
        <w:rPr>
          <w:color w:val="000000"/>
        </w:rPr>
        <w:t xml:space="preserve">Additionally, the partnership should contribute from the research and innovation angle to the “Communication on the European Care Strategy” (for caregivers and care receivers; </w:t>
      </w:r>
      <w:proofErr w:type="gramStart"/>
      <w:r>
        <w:rPr>
          <w:color w:val="000000"/>
        </w:rPr>
        <w:t>COM(</w:t>
      </w:r>
      <w:proofErr w:type="gramEnd"/>
      <w:r>
        <w:rPr>
          <w:color w:val="000000"/>
        </w:rPr>
        <w:t>2022) 440 final)</w:t>
      </w:r>
      <w:r>
        <w:rPr>
          <w:vertAlign w:val="superscript"/>
        </w:rPr>
        <w:footnoteReference w:id="100"/>
      </w:r>
      <w:r>
        <w:rPr>
          <w:color w:val="000000"/>
        </w:rPr>
        <w:t>, which aims to ensure high quality, affordable and accessible care services for all ages. By fostering data sharing and boosting FAIR</w:t>
      </w:r>
      <w:r>
        <w:rPr>
          <w:vertAlign w:val="superscript"/>
        </w:rPr>
        <w:footnoteReference w:id="101"/>
      </w:r>
      <w:r>
        <w:rPr>
          <w:color w:val="000000"/>
        </w:rPr>
        <w:t xml:space="preserve"> and open data, the partnership should also contribute to the implementation of the European Health Data Space (EHDS)</w:t>
      </w:r>
      <w:r>
        <w:rPr>
          <w:vertAlign w:val="superscript"/>
        </w:rPr>
        <w:footnoteReference w:id="102"/>
      </w:r>
      <w:r>
        <w:rPr>
          <w:color w:val="000000"/>
        </w:rPr>
        <w:t>.</w:t>
      </w:r>
    </w:p>
    <w:p w14:paraId="4179CDE8" w14:textId="77777777" w:rsidR="00056AEE" w:rsidRDefault="00A00CB7">
      <w:r>
        <w:rPr>
          <w:color w:val="000000"/>
        </w:rPr>
        <w:t xml:space="preserve">Thanks to its capacity to bring together different stakeholders (e.g. research funders, health authorities, citizens, healthcare providers, innovators, policymakers), the partnership will create a critical mass of resources to implement a long-term Strategic Research and Innovation Agenda (SRIA), based on the work of the Coordination and Support Action </w:t>
      </w:r>
      <w:proofErr w:type="spellStart"/>
      <w:r>
        <w:rPr>
          <w:color w:val="000000"/>
        </w:rPr>
        <w:t>BrainHealth</w:t>
      </w:r>
      <w:proofErr w:type="spellEnd"/>
      <w:r>
        <w:rPr>
          <w:vertAlign w:val="superscript"/>
        </w:rPr>
        <w:footnoteReference w:id="103"/>
      </w:r>
      <w:r>
        <w:rPr>
          <w:color w:val="000000"/>
        </w:rPr>
        <w:t>.</w:t>
      </w:r>
    </w:p>
    <w:p w14:paraId="78DD0489" w14:textId="77777777" w:rsidR="00056AEE" w:rsidRDefault="00A00CB7">
      <w:r>
        <w:rPr>
          <w:color w:val="000000"/>
        </w:rPr>
        <w:t>The co-funded European Partnership for Brain Health should be implemented through a joint programme of activities ranging from coordinating transnational research efforts to other activities such as improving access to data and services, optimising the use of and services provided by research infrastructures, as well as networking, training and dissemination activities.</w:t>
      </w:r>
    </w:p>
    <w:p w14:paraId="5203F201" w14:textId="77777777" w:rsidR="00056AEE" w:rsidRDefault="00A00CB7">
      <w:r>
        <w:rPr>
          <w:color w:val="000000"/>
        </w:rPr>
        <w:t>It should be structured along the following main objectives:</w:t>
      </w:r>
    </w:p>
    <w:p w14:paraId="7C68027A" w14:textId="77777777" w:rsidR="00056AEE" w:rsidRDefault="00A00CB7" w:rsidP="003A38F8">
      <w:pPr>
        <w:pStyle w:val="Paragraphedeliste"/>
        <w:numPr>
          <w:ilvl w:val="0"/>
          <w:numId w:val="32"/>
        </w:numPr>
      </w:pPr>
      <w:r>
        <w:rPr>
          <w:color w:val="000000"/>
        </w:rPr>
        <w:t>Strengthening collaboration, strategic alignment and global dialogue: engage and collaborate with key stakeholders, not only those participating in existing EU-supported brain research initiatives but also beyond them, whilst also seeking alignment with these and international initiatives, including other European partnerships.</w:t>
      </w:r>
    </w:p>
    <w:p w14:paraId="3D33F4A9" w14:textId="77777777" w:rsidR="00056AEE" w:rsidRDefault="00A00CB7" w:rsidP="003A38F8">
      <w:pPr>
        <w:pStyle w:val="Paragraphedeliste"/>
        <w:numPr>
          <w:ilvl w:val="0"/>
          <w:numId w:val="32"/>
        </w:numPr>
      </w:pPr>
      <w:r>
        <w:rPr>
          <w:color w:val="000000"/>
        </w:rPr>
        <w:lastRenderedPageBreak/>
        <w:t>Jointly supporting research and innovation: launch joint transnational calls underpinning the brain health research and innovation priorities, as defined in the SRIA, and based on annual work plans. Calls include research calls, networking calls, and those that relate to ethical, legal and social/societal aspects.</w:t>
      </w:r>
    </w:p>
    <w:p w14:paraId="0D3DD86E" w14:textId="77777777" w:rsidR="00056AEE" w:rsidRDefault="00A00CB7" w:rsidP="003A38F8">
      <w:pPr>
        <w:pStyle w:val="Paragraphedeliste"/>
        <w:numPr>
          <w:ilvl w:val="0"/>
          <w:numId w:val="32"/>
        </w:numPr>
      </w:pPr>
      <w:r>
        <w:rPr>
          <w:color w:val="000000"/>
        </w:rPr>
        <w:t>Facilitating the use of infrastructures and platforms in the EU and Associated Countries: improve access to and use of these infrastructures and platforms, whilst also shaping the services provided for optimal use. This also covers the facilitation of data sharing by boosting FAIR</w:t>
      </w:r>
      <w:r>
        <w:rPr>
          <w:vertAlign w:val="superscript"/>
        </w:rPr>
        <w:footnoteReference w:id="104"/>
      </w:r>
      <w:r>
        <w:rPr>
          <w:color w:val="000000"/>
        </w:rPr>
        <w:t xml:space="preserve"> and open data and improving interoperability and harmonisation.</w:t>
      </w:r>
    </w:p>
    <w:p w14:paraId="18A4B00E" w14:textId="77777777" w:rsidR="00056AEE" w:rsidRDefault="00A00CB7" w:rsidP="003A38F8">
      <w:pPr>
        <w:pStyle w:val="Paragraphedeliste"/>
        <w:numPr>
          <w:ilvl w:val="0"/>
          <w:numId w:val="32"/>
        </w:numPr>
      </w:pPr>
      <w:r>
        <w:rPr>
          <w:color w:val="000000"/>
        </w:rPr>
        <w:t>Bridging with healthcare providers, the private sector, regulators, and policymakers: enable the translation of research results into accessible, tailored products, technologies and policies through collaborations, including with institutionalised European partnerships (e.g., Innovative Health Initiative).</w:t>
      </w:r>
    </w:p>
    <w:p w14:paraId="0102D67E" w14:textId="77777777" w:rsidR="00056AEE" w:rsidRDefault="00A00CB7" w:rsidP="003A38F8">
      <w:pPr>
        <w:pStyle w:val="Paragraphedeliste"/>
        <w:numPr>
          <w:ilvl w:val="0"/>
          <w:numId w:val="32"/>
        </w:numPr>
      </w:pPr>
      <w:r>
        <w:rPr>
          <w:color w:val="000000"/>
        </w:rPr>
        <w:t>Empowering citizens, people living with brain disorders and patients, families and caregivers (including informal): enable them to be active in their health trajectories via the dissemination of good practices and scientific outputs, as well as trainings to engage them along the whole spectrum of the research process.</w:t>
      </w:r>
    </w:p>
    <w:p w14:paraId="64EB453C" w14:textId="77777777" w:rsidR="00056AEE" w:rsidRDefault="00A00CB7" w:rsidP="003A38F8">
      <w:pPr>
        <w:pStyle w:val="Paragraphedeliste"/>
        <w:numPr>
          <w:ilvl w:val="0"/>
          <w:numId w:val="32"/>
        </w:numPr>
      </w:pPr>
      <w:r>
        <w:rPr>
          <w:color w:val="000000"/>
        </w:rPr>
        <w:t xml:space="preserve">Capacity building in research: support networking and training of scientists, healthcare practitioners, health policy experts, innovators and other professionals contributing to preserve and improve brain health. </w:t>
      </w:r>
    </w:p>
    <w:p w14:paraId="30CC081C" w14:textId="77777777" w:rsidR="00056AEE" w:rsidRDefault="00A00CB7">
      <w:r>
        <w:rPr>
          <w:color w:val="000000"/>
        </w:rPr>
        <w:t>The partnership is open to all EU Member States, as well as to countries associated to Horizon Europe and will remain open to third countries wishing to join.</w:t>
      </w:r>
    </w:p>
    <w:p w14:paraId="1E5FDC09" w14:textId="77777777" w:rsidR="00056AEE" w:rsidRDefault="00A00CB7">
      <w:r>
        <w:rPr>
          <w:color w:val="000000"/>
        </w:rPr>
        <w:t>The partnership should include or engage with the following actors: (</w:t>
      </w:r>
      <w:proofErr w:type="spellStart"/>
      <w:r>
        <w:rPr>
          <w:color w:val="000000"/>
        </w:rPr>
        <w:t>i</w:t>
      </w:r>
      <w:proofErr w:type="spellEnd"/>
      <w:r>
        <w:rPr>
          <w:color w:val="000000"/>
        </w:rPr>
        <w:t>) Ministries in charge of R&amp;I policy, as well as national and regional R&amp;I and technology funding agencies and foundations; (ii) Ministries in charge of health and care policy, as well as national and regional healthcare authorities, organisations and providers; (iii) academic researchers; (iv) research infrastructures; (v) patients organisations; (vi) industry; (vii) research and technology offices; (viii) private sector; and (ix) charities.</w:t>
      </w:r>
    </w:p>
    <w:p w14:paraId="5E891225" w14:textId="77777777" w:rsidR="00056AEE" w:rsidRDefault="00A00CB7">
      <w:r>
        <w:rPr>
          <w:color w:val="000000"/>
        </w:rPr>
        <w:t>The partnership may also encourage engagement with other relevant Ministries (e.g., related to employment, education, etc.) and research funders. It should involve other key actors from civil society and end-users, research and innovation community, innovation owners, health and care systems owners/organisers and health and care agencies.</w:t>
      </w:r>
    </w:p>
    <w:p w14:paraId="4B89FD37" w14:textId="77777777" w:rsidR="00056AEE" w:rsidRDefault="00A00CB7">
      <w:r>
        <w:rPr>
          <w:color w:val="000000"/>
        </w:rPr>
        <w:t>The partnership should build on and go beyond existing and previous initiatives, including the ERA-NET actions under (</w:t>
      </w:r>
      <w:proofErr w:type="spellStart"/>
      <w:r>
        <w:rPr>
          <w:color w:val="000000"/>
        </w:rPr>
        <w:t>i</w:t>
      </w:r>
      <w:proofErr w:type="spellEnd"/>
      <w:r>
        <w:rPr>
          <w:color w:val="000000"/>
        </w:rPr>
        <w:t>) the EU Joint Programme for Neurodegenerative Disease Research (JPND)</w:t>
      </w:r>
      <w:r>
        <w:rPr>
          <w:vertAlign w:val="superscript"/>
        </w:rPr>
        <w:footnoteReference w:id="105"/>
      </w:r>
      <w:r>
        <w:rPr>
          <w:color w:val="000000"/>
        </w:rPr>
        <w:t>, (ii) the Network of European Funding for Neuroscience Research (NEURON)</w:t>
      </w:r>
      <w:r>
        <w:rPr>
          <w:vertAlign w:val="superscript"/>
        </w:rPr>
        <w:footnoteReference w:id="106"/>
      </w:r>
      <w:r>
        <w:rPr>
          <w:color w:val="000000"/>
        </w:rPr>
        <w:t>, and (iii) the Human Brain Project</w:t>
      </w:r>
      <w:r>
        <w:rPr>
          <w:vertAlign w:val="superscript"/>
        </w:rPr>
        <w:footnoteReference w:id="107"/>
      </w:r>
      <w:r>
        <w:rPr>
          <w:color w:val="000000"/>
        </w:rPr>
        <w:t xml:space="preserve"> (HBP, a FET Flagship project), as well as the digital </w:t>
      </w:r>
      <w:r>
        <w:rPr>
          <w:color w:val="000000"/>
        </w:rPr>
        <w:lastRenderedPageBreak/>
        <w:t>research infrastructure EBRAINS</w:t>
      </w:r>
      <w:r>
        <w:rPr>
          <w:vertAlign w:val="superscript"/>
        </w:rPr>
        <w:footnoteReference w:id="108"/>
      </w:r>
      <w:r>
        <w:rPr>
          <w:color w:val="000000"/>
        </w:rPr>
        <w:t xml:space="preserve">, which was put in place by HBP, and the Coordination and Support Actions (CSAs) </w:t>
      </w:r>
      <w:proofErr w:type="spellStart"/>
      <w:r>
        <w:rPr>
          <w:color w:val="000000"/>
        </w:rPr>
        <w:t>BrainHealth</w:t>
      </w:r>
      <w:proofErr w:type="spellEnd"/>
      <w:r>
        <w:rPr>
          <w:vertAlign w:val="superscript"/>
        </w:rPr>
        <w:footnoteReference w:id="109"/>
      </w:r>
      <w:r>
        <w:rPr>
          <w:color w:val="000000"/>
        </w:rPr>
        <w:t xml:space="preserve"> and European Brain Research Area (EBRA)</w:t>
      </w:r>
      <w:r>
        <w:rPr>
          <w:vertAlign w:val="superscript"/>
        </w:rPr>
        <w:footnoteReference w:id="110"/>
      </w:r>
      <w:r>
        <w:rPr>
          <w:color w:val="000000"/>
        </w:rPr>
        <w:t>.</w:t>
      </w:r>
    </w:p>
    <w:p w14:paraId="07C416C7" w14:textId="77777777" w:rsidR="00056AEE" w:rsidRDefault="00A00CB7">
      <w:r>
        <w:rPr>
          <w:color w:val="000000"/>
        </w:rPr>
        <w:t>The partnership’s governance structure should engage upfront the relevant actors to coordinate, steer and frame the research and innovation activities, and facilitate the use and uptake of the results. The governance should involve key stakeholders, including but not limited to the research and innovation community, patients and citizens, health and care professionals, formal and informal care organisations, and innovation owners. Transparency in governance should be secured (e.g. in calls, governing bodies, etc.).</w:t>
      </w:r>
    </w:p>
    <w:p w14:paraId="08AA8412" w14:textId="77777777" w:rsidR="00056AEE" w:rsidRDefault="00A00CB7">
      <w:r>
        <w:rPr>
          <w:color w:val="000000"/>
        </w:rPr>
        <w:t>To ensure coherence and complementarity of activities and leverage knowledge and investment possibilities, the partnership is expected to establish relevant collaborations with other Horizon Europe partnerships (institutionalised and co-funded) and missions, as set out in the working document on ‘Coherence and Synergies of candidate European Partnerships under Horizon Europe’</w:t>
      </w:r>
      <w:r>
        <w:rPr>
          <w:vertAlign w:val="superscript"/>
        </w:rPr>
        <w:footnoteReference w:id="111"/>
      </w:r>
      <w:r>
        <w:rPr>
          <w:color w:val="000000"/>
        </w:rPr>
        <w:t>, as well as to explore collaborations with other relevant activities at EU and international level. The proposal should also elaborate on possible synergies with other EU programmes, including EU4Health and the Digital Europe Programme (DIGITAL). The Partnership should align with EU-wide initiatives on open access and FAIR</w:t>
      </w:r>
      <w:r>
        <w:rPr>
          <w:vertAlign w:val="superscript"/>
        </w:rPr>
        <w:footnoteReference w:id="112"/>
      </w:r>
      <w:r>
        <w:rPr>
          <w:color w:val="000000"/>
        </w:rPr>
        <w:t xml:space="preserve"> data.</w:t>
      </w:r>
    </w:p>
    <w:p w14:paraId="10996DB9" w14:textId="77777777" w:rsidR="00056AEE" w:rsidRDefault="00A00CB7">
      <w:r>
        <w:rPr>
          <w:color w:val="000000"/>
        </w:rPr>
        <w:t>To tackle the ambitious challenges, cooperation with international organisations, private sector and non-European institutions and experts may be considered. Participation of third countries is encouraged. The commitments to the partnership of entities not eligible for funding will not be counted towards the calculation of the EU funding to the partnership. Applicants should describe in their proposal the methodology for their collaboration and the aims they want to achieve with this kind of collaboration.</w:t>
      </w:r>
    </w:p>
    <w:p w14:paraId="69131B1C" w14:textId="77777777" w:rsidR="00056AEE" w:rsidRDefault="00A00CB7">
      <w:r>
        <w:rPr>
          <w:color w:val="000000"/>
        </w:rPr>
        <w:t xml:space="preserve">Proposals should pool the necessary financial resources from the participating national research programmes with a view to implementing joint calls for transnational proposals resulting in grants to third parties. Financial support provided by the participants to third parties is one of the activities of this action </w:t>
      </w:r>
      <w:proofErr w:type="gramStart"/>
      <w:r>
        <w:rPr>
          <w:color w:val="000000"/>
        </w:rPr>
        <w:t>in order to</w:t>
      </w:r>
      <w:proofErr w:type="gramEnd"/>
      <w:r>
        <w:rPr>
          <w:color w:val="000000"/>
        </w:rPr>
        <w:t xml:space="preserve"> be able to achieve its objectives.</w:t>
      </w:r>
    </w:p>
    <w:p w14:paraId="1D03F743" w14:textId="77777777" w:rsidR="00056AEE" w:rsidRDefault="00A00CB7">
      <w:r>
        <w:rPr>
          <w:color w:val="000000"/>
        </w:rPr>
        <w:t xml:space="preserve">When defining calls for proposals, this partnership needs to consider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 In addition, this partnership needs to integrate robust sex and gender considerations, applying an intersectional lens to investigate variations in mental, neurological and neurodegenerative conditions. This includes examining how characteristics such as gender, age, racial/ethnic background, and disability intersect to influence disease/disorder prevalence, prevention, and outcomes.</w:t>
      </w:r>
    </w:p>
    <w:p w14:paraId="3C318302" w14:textId="77777777" w:rsidR="00056AEE" w:rsidRDefault="00A00CB7">
      <w:r>
        <w:rPr>
          <w:color w:val="000000"/>
        </w:rPr>
        <w:lastRenderedPageBreak/>
        <w:t>The total indicative budget for the partnership is up to EUR 150 million and subject to the effective implementation of the commitments made by the members of the consortium.</w:t>
      </w:r>
    </w:p>
    <w:p w14:paraId="527BAA02" w14:textId="77777777" w:rsidR="00056AEE" w:rsidRDefault="00A00CB7">
      <w:r>
        <w:rPr>
          <w:color w:val="000000"/>
        </w:rPr>
        <w:t>The expected duration of the partnership is seven to ten years.</w:t>
      </w:r>
    </w:p>
    <w:p w14:paraId="6D35F719" w14:textId="77777777" w:rsidR="00056AEE" w:rsidRDefault="00A00CB7">
      <w:pPr>
        <w:pStyle w:val="HeadingThree"/>
      </w:pPr>
      <w:bookmarkStart w:id="22" w:name="_Toc171689869"/>
      <w:r>
        <w:t>HORIZON-HLTH-2025-03-DISEASE-01: European partnership fostering a European Research Area (ERA) for health research (Phase 2)</w:t>
      </w:r>
      <w:bookmarkEnd w:id="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5"/>
        <w:gridCol w:w="7027"/>
      </w:tblGrid>
      <w:tr w:rsidR="003A38F8" w14:paraId="1143D5C6" w14:textId="77777777" w:rsidTr="003A38F8">
        <w:tc>
          <w:tcPr>
            <w:tcW w:w="0" w:type="auto"/>
            <w:gridSpan w:val="2"/>
          </w:tcPr>
          <w:p w14:paraId="4A557B42" w14:textId="77777777" w:rsidR="00056AEE" w:rsidRDefault="00A00CB7">
            <w:pPr>
              <w:pStyle w:val="CellTextValue"/>
            </w:pPr>
            <w:r>
              <w:rPr>
                <w:b/>
              </w:rPr>
              <w:t>Call: Partnerships in Health - European partnership fostering a European Research Area (ERA) for health research (2025)</w:t>
            </w:r>
          </w:p>
        </w:tc>
      </w:tr>
      <w:tr w:rsidR="003A38F8" w14:paraId="481B2C5F" w14:textId="77777777" w:rsidTr="003A38F8">
        <w:tc>
          <w:tcPr>
            <w:tcW w:w="0" w:type="auto"/>
            <w:gridSpan w:val="2"/>
          </w:tcPr>
          <w:p w14:paraId="726CB9A9" w14:textId="77777777" w:rsidR="00056AEE" w:rsidRDefault="00A00CB7">
            <w:pPr>
              <w:pStyle w:val="CellTextValue"/>
            </w:pPr>
            <w:r>
              <w:rPr>
                <w:b/>
              </w:rPr>
              <w:t>Specific conditions</w:t>
            </w:r>
          </w:p>
        </w:tc>
      </w:tr>
      <w:tr w:rsidR="00056AEE" w14:paraId="6412EFB4" w14:textId="77777777">
        <w:tc>
          <w:tcPr>
            <w:tcW w:w="0" w:type="auto"/>
          </w:tcPr>
          <w:p w14:paraId="55820B62" w14:textId="77777777" w:rsidR="00056AEE" w:rsidRDefault="00A00CB7">
            <w:pPr>
              <w:pStyle w:val="CellTextValue"/>
              <w:jc w:val="left"/>
            </w:pPr>
            <w:r>
              <w:rPr>
                <w:i/>
              </w:rPr>
              <w:t>Expected EU contribution per project</w:t>
            </w:r>
          </w:p>
        </w:tc>
        <w:tc>
          <w:tcPr>
            <w:tcW w:w="0" w:type="auto"/>
          </w:tcPr>
          <w:p w14:paraId="78FB8464" w14:textId="77777777" w:rsidR="00056AEE" w:rsidRDefault="00A00CB7">
            <w:pPr>
              <w:pStyle w:val="CellTextValue"/>
            </w:pPr>
            <w:r>
              <w:t>The Commission estimates that an EU contribution of around EUR 77.00 million would allow these outcomes to be addressed appropriately. Nonetheless, this does not preclude submission and selection of a proposal requesting different amounts.</w:t>
            </w:r>
          </w:p>
        </w:tc>
      </w:tr>
      <w:tr w:rsidR="00056AEE" w14:paraId="1246BC07" w14:textId="77777777">
        <w:tc>
          <w:tcPr>
            <w:tcW w:w="0" w:type="auto"/>
          </w:tcPr>
          <w:p w14:paraId="4582C480" w14:textId="77777777" w:rsidR="00056AEE" w:rsidRDefault="00A00CB7">
            <w:pPr>
              <w:pStyle w:val="CellTextValue"/>
              <w:jc w:val="left"/>
            </w:pPr>
            <w:r>
              <w:rPr>
                <w:i/>
              </w:rPr>
              <w:t>Indicative budget</w:t>
            </w:r>
          </w:p>
        </w:tc>
        <w:tc>
          <w:tcPr>
            <w:tcW w:w="0" w:type="auto"/>
          </w:tcPr>
          <w:p w14:paraId="44B942DC" w14:textId="77777777" w:rsidR="00056AEE" w:rsidRDefault="00A00CB7">
            <w:pPr>
              <w:pStyle w:val="CellTextValue"/>
            </w:pPr>
            <w:r>
              <w:t>The total indicative budget for the topic is EUR 77.00 million.</w:t>
            </w:r>
          </w:p>
        </w:tc>
      </w:tr>
      <w:tr w:rsidR="00056AEE" w14:paraId="61DEC3D3" w14:textId="77777777">
        <w:tc>
          <w:tcPr>
            <w:tcW w:w="0" w:type="auto"/>
          </w:tcPr>
          <w:p w14:paraId="3EA824AC" w14:textId="77777777" w:rsidR="00056AEE" w:rsidRDefault="00A00CB7">
            <w:pPr>
              <w:pStyle w:val="CellTextValue"/>
              <w:jc w:val="left"/>
            </w:pPr>
            <w:r>
              <w:rPr>
                <w:i/>
              </w:rPr>
              <w:t>Type of Action</w:t>
            </w:r>
          </w:p>
        </w:tc>
        <w:tc>
          <w:tcPr>
            <w:tcW w:w="0" w:type="auto"/>
          </w:tcPr>
          <w:p w14:paraId="5393A2F0" w14:textId="77777777" w:rsidR="00056AEE" w:rsidRDefault="00A00CB7">
            <w:pPr>
              <w:pStyle w:val="CellTextValue"/>
            </w:pPr>
            <w:r>
              <w:rPr>
                <w:color w:val="000000"/>
              </w:rPr>
              <w:t>Programme Co-fund Action</w:t>
            </w:r>
          </w:p>
        </w:tc>
      </w:tr>
      <w:tr w:rsidR="00056AEE" w14:paraId="2013F085" w14:textId="77777777">
        <w:tc>
          <w:tcPr>
            <w:tcW w:w="0" w:type="auto"/>
          </w:tcPr>
          <w:p w14:paraId="3A0B7269" w14:textId="77777777" w:rsidR="00056AEE" w:rsidRDefault="00A00CB7">
            <w:pPr>
              <w:pStyle w:val="CellTextValue"/>
              <w:jc w:val="left"/>
            </w:pPr>
            <w:r>
              <w:rPr>
                <w:i/>
              </w:rPr>
              <w:t>Eligibility conditions</w:t>
            </w:r>
          </w:p>
        </w:tc>
        <w:tc>
          <w:tcPr>
            <w:tcW w:w="0" w:type="auto"/>
          </w:tcPr>
          <w:p w14:paraId="6430EA2D" w14:textId="77777777" w:rsidR="00056AEE" w:rsidRDefault="00A00CB7">
            <w:pPr>
              <w:pStyle w:val="CellTextValue"/>
            </w:pPr>
            <w:r>
              <w:rPr>
                <w:color w:val="000000"/>
              </w:rPr>
              <w:t>The conditions are described in General Annex B. The following exceptions apply:</w:t>
            </w:r>
          </w:p>
          <w:p w14:paraId="4394BDDA" w14:textId="77777777" w:rsidR="00056AEE" w:rsidRDefault="00A00CB7">
            <w:pPr>
              <w:pStyle w:val="CellTextValue"/>
            </w:pPr>
            <w:r>
              <w:rPr>
                <w:color w:val="000000"/>
              </w:rPr>
              <w:t>The proposal must be submitted by the coordinator of the consortium funded under topic HORIZON-HLTH-2022-DISEASE-03-01: "European partnership fostering a European Research Area (ERA) for health research". This eligibility condition is without prejudice to the possibility to include additional partners.</w:t>
            </w:r>
          </w:p>
          <w:p w14:paraId="3C44378D"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056AEE" w14:paraId="38226075" w14:textId="77777777">
        <w:tc>
          <w:tcPr>
            <w:tcW w:w="0" w:type="auto"/>
          </w:tcPr>
          <w:p w14:paraId="37FEDF0E" w14:textId="77777777" w:rsidR="00056AEE" w:rsidRDefault="00A00CB7">
            <w:pPr>
              <w:pStyle w:val="CellTextValue"/>
              <w:jc w:val="left"/>
            </w:pPr>
            <w:r>
              <w:rPr>
                <w:i/>
              </w:rPr>
              <w:t>Award criteria</w:t>
            </w:r>
          </w:p>
        </w:tc>
        <w:tc>
          <w:tcPr>
            <w:tcW w:w="0" w:type="auto"/>
          </w:tcPr>
          <w:p w14:paraId="47BFF387" w14:textId="77777777" w:rsidR="00056AEE" w:rsidRDefault="00A00CB7">
            <w:pPr>
              <w:pStyle w:val="CellTextValue"/>
            </w:pPr>
            <w:r>
              <w:rPr>
                <w:color w:val="000000"/>
              </w:rPr>
              <w:t>The criteria are described in General Annex D. The following exceptions apply:</w:t>
            </w:r>
          </w:p>
          <w:p w14:paraId="29EE5AE9" w14:textId="77777777" w:rsidR="00056AEE" w:rsidRDefault="00A00CB7">
            <w:pPr>
              <w:pStyle w:val="CellTextValue"/>
            </w:pPr>
            <w:r>
              <w:rPr>
                <w:color w:val="000000"/>
              </w:rPr>
              <w:t>The thresholds for each criterion will be 4 (Excellence), 4 (Impact) and 4 (Implementation). The cumulative threshold will be 12.</w:t>
            </w:r>
          </w:p>
        </w:tc>
      </w:tr>
      <w:tr w:rsidR="00056AEE" w14:paraId="031DDF50" w14:textId="77777777">
        <w:tc>
          <w:tcPr>
            <w:tcW w:w="0" w:type="auto"/>
          </w:tcPr>
          <w:p w14:paraId="19DB2ABE" w14:textId="77777777" w:rsidR="00056AEE" w:rsidRDefault="00A00CB7">
            <w:pPr>
              <w:pStyle w:val="CellTextValue"/>
              <w:jc w:val="left"/>
            </w:pPr>
            <w:r>
              <w:rPr>
                <w:i/>
              </w:rPr>
              <w:t>Procedure</w:t>
            </w:r>
          </w:p>
        </w:tc>
        <w:tc>
          <w:tcPr>
            <w:tcW w:w="0" w:type="auto"/>
          </w:tcPr>
          <w:p w14:paraId="08038462" w14:textId="77777777" w:rsidR="00056AEE" w:rsidRDefault="00A00CB7">
            <w:pPr>
              <w:pStyle w:val="CellTextValue"/>
            </w:pPr>
            <w:r>
              <w:rPr>
                <w:color w:val="000000"/>
              </w:rPr>
              <w:t>The procedure is described in General Annex F. The following exceptions apply:</w:t>
            </w:r>
          </w:p>
          <w:p w14:paraId="09FA506A" w14:textId="77777777" w:rsidR="00056AEE" w:rsidRDefault="00A00CB7">
            <w:pPr>
              <w:pStyle w:val="CellTextValue"/>
            </w:pPr>
            <w:r>
              <w:rPr>
                <w:color w:val="000000"/>
              </w:rPr>
              <w:t xml:space="preserve">If the proposal is successful, the next stage of the procedure will be </w:t>
            </w:r>
            <w:proofErr w:type="gramStart"/>
            <w:r>
              <w:rPr>
                <w:color w:val="000000"/>
              </w:rPr>
              <w:t>grant</w:t>
            </w:r>
            <w:proofErr w:type="gramEnd"/>
            <w:r>
              <w:rPr>
                <w:color w:val="000000"/>
              </w:rPr>
              <w:t xml:space="preserve"> agreement amendment preparations.</w:t>
            </w:r>
          </w:p>
          <w:p w14:paraId="62EB9772" w14:textId="77777777" w:rsidR="00056AEE" w:rsidRDefault="00A00CB7">
            <w:r>
              <w:rPr>
                <w:color w:val="000000"/>
              </w:rPr>
              <w:lastRenderedPageBreak/>
              <w:t>If the outcome of amendment preparations is an award decision, the coordinator of the consortium funded under topic HORIZON-HLTH-2022-DISEASE-03-01: "European partnership fostering a European Research Area (ERA) for health research" will be invited to submit an amendment to the grant agreement, on behalf of the beneficiaries.</w:t>
            </w:r>
          </w:p>
        </w:tc>
      </w:tr>
      <w:tr w:rsidR="00056AEE" w14:paraId="232E1C8E" w14:textId="77777777">
        <w:tc>
          <w:tcPr>
            <w:tcW w:w="0" w:type="auto"/>
          </w:tcPr>
          <w:p w14:paraId="2C0CACF2" w14:textId="77777777" w:rsidR="00056AEE" w:rsidRDefault="00A00CB7">
            <w:pPr>
              <w:pStyle w:val="CellTextValue"/>
              <w:jc w:val="left"/>
            </w:pPr>
            <w:r>
              <w:rPr>
                <w:i/>
              </w:rPr>
              <w:lastRenderedPageBreak/>
              <w:t>Legal and financial set-up of the Grant Agreements</w:t>
            </w:r>
          </w:p>
        </w:tc>
        <w:tc>
          <w:tcPr>
            <w:tcW w:w="0" w:type="auto"/>
          </w:tcPr>
          <w:p w14:paraId="7D53922F" w14:textId="77777777" w:rsidR="00056AEE" w:rsidRDefault="00A00CB7">
            <w:pPr>
              <w:pStyle w:val="CellTextValue"/>
            </w:pPr>
            <w:r>
              <w:rPr>
                <w:color w:val="000000"/>
              </w:rPr>
              <w:t>The rules are described in General Annex G. The following exceptions apply:</w:t>
            </w:r>
          </w:p>
          <w:p w14:paraId="0A1C16DB" w14:textId="77777777" w:rsidR="00056AEE" w:rsidRDefault="00A00CB7">
            <w:pPr>
              <w:pStyle w:val="CellTextValue"/>
            </w:pPr>
            <w:r>
              <w:rPr>
                <w:color w:val="000000"/>
              </w:rPr>
              <w:t>This action is intended to be implemented in the form of an amendment of the grant agreement concluded pursuant to Article 24(2) of the Horizon Europe Regulation.</w:t>
            </w:r>
          </w:p>
          <w:p w14:paraId="72A573BF" w14:textId="77777777" w:rsidR="00056AEE" w:rsidRDefault="00A00CB7">
            <w:r>
              <w:rPr>
                <w:color w:val="000000"/>
              </w:rPr>
              <w:t>For the additional activities covered by this action:</w:t>
            </w:r>
          </w:p>
          <w:p w14:paraId="50565C53" w14:textId="77777777" w:rsidR="00056AEE" w:rsidRDefault="00A00CB7" w:rsidP="003A38F8">
            <w:pPr>
              <w:pStyle w:val="Paragraphedeliste"/>
              <w:numPr>
                <w:ilvl w:val="0"/>
                <w:numId w:val="33"/>
              </w:numPr>
              <w:spacing w:after="150"/>
              <w:ind w:right="100"/>
            </w:pPr>
            <w:r>
              <w:rPr>
                <w:color w:val="000000"/>
              </w:rPr>
              <w:t>The funding rate is 30% of the eligible costs.</w:t>
            </w:r>
          </w:p>
          <w:p w14:paraId="1C20B266" w14:textId="77777777" w:rsidR="00056AEE" w:rsidRDefault="00A00CB7" w:rsidP="003A38F8">
            <w:pPr>
              <w:pStyle w:val="Paragraphedeliste"/>
              <w:numPr>
                <w:ilvl w:val="0"/>
                <w:numId w:val="33"/>
              </w:numPr>
              <w:spacing w:after="150"/>
              <w:ind w:right="100"/>
            </w:pPr>
            <w:r>
              <w:rPr>
                <w:color w:val="000000"/>
              </w:rPr>
              <w:t xml:space="preserve">Beneficiaries may provide financial support to third parties (FSTP). The support to third parties can only be provided in the form of grants. Financial support provided by the participants to third parties is one of the primary activities of this action </w:t>
            </w:r>
            <w:proofErr w:type="gramStart"/>
            <w:r>
              <w:rPr>
                <w:color w:val="000000"/>
              </w:rPr>
              <w:t>in order to</w:t>
            </w:r>
            <w:proofErr w:type="gramEnd"/>
            <w:r>
              <w:rPr>
                <w:color w:val="000000"/>
              </w:rPr>
              <w:t xml:space="preserve"> be able to achieve its objectives. The EUR 60 000 threshold provided for in Article 204(a) of the Financial Regulation No 2018/1046 does not apply. The maximum amount of FSTP to be granted to an individual third party is EUR 10 million. This amount is justified since provision of FSTP is the primary activity of this action and it is based on the extensive experience under predecessors of this partnership.</w:t>
            </w:r>
          </w:p>
          <w:p w14:paraId="2D68A928" w14:textId="77777777" w:rsidR="00056AEE" w:rsidRDefault="00A00CB7" w:rsidP="003A38F8">
            <w:pPr>
              <w:pStyle w:val="Paragraphedeliste"/>
              <w:numPr>
                <w:ilvl w:val="0"/>
                <w:numId w:val="33"/>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056AEE" w14:paraId="0AC26DA6" w14:textId="77777777">
        <w:tc>
          <w:tcPr>
            <w:tcW w:w="0" w:type="auto"/>
          </w:tcPr>
          <w:p w14:paraId="3B0A2FD4" w14:textId="77777777" w:rsidR="00056AEE" w:rsidRDefault="00A00CB7">
            <w:pPr>
              <w:pStyle w:val="CellTextValue"/>
              <w:jc w:val="left"/>
            </w:pPr>
            <w:r>
              <w:rPr>
                <w:i/>
              </w:rPr>
              <w:t>Total indicative budget</w:t>
            </w:r>
          </w:p>
        </w:tc>
        <w:tc>
          <w:tcPr>
            <w:tcW w:w="0" w:type="auto"/>
          </w:tcPr>
          <w:p w14:paraId="10D9B35B" w14:textId="77777777" w:rsidR="00056AEE" w:rsidRDefault="00A00CB7">
            <w:pPr>
              <w:pStyle w:val="CellTextValue"/>
            </w:pPr>
            <w:r>
              <w:rPr>
                <w:color w:val="000000"/>
              </w:rPr>
              <w:t>The total indicative budget for the duration of the co-funded Partnership is EUR 110 million.</w:t>
            </w:r>
          </w:p>
        </w:tc>
      </w:tr>
    </w:tbl>
    <w:p w14:paraId="5FF526A2" w14:textId="77777777" w:rsidR="00056AEE" w:rsidRDefault="00056AEE">
      <w:pPr>
        <w:spacing w:after="0" w:line="150" w:lineRule="auto"/>
      </w:pPr>
    </w:p>
    <w:p w14:paraId="5AD810EE"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the proposal under this topic should aim to deliver results that are directed, tailored towards and contributing to all the following expected outcomes:</w:t>
      </w:r>
    </w:p>
    <w:p w14:paraId="2E0E72DF" w14:textId="77777777" w:rsidR="00056AEE" w:rsidRDefault="00A00CB7" w:rsidP="003A38F8">
      <w:pPr>
        <w:pStyle w:val="Paragraphedeliste"/>
        <w:numPr>
          <w:ilvl w:val="0"/>
          <w:numId w:val="34"/>
        </w:numPr>
      </w:pPr>
      <w:r>
        <w:rPr>
          <w:color w:val="000000"/>
        </w:rPr>
        <w:t xml:space="preserve">Based on a trusted governance and effective working modalities, research funders, health policymakers and the research community work together in order to identify and prioritise topics of common interest and European </w:t>
      </w:r>
      <w:proofErr w:type="gramStart"/>
      <w:r>
        <w:rPr>
          <w:color w:val="000000"/>
        </w:rPr>
        <w:t>benefit;</w:t>
      </w:r>
      <w:proofErr w:type="gramEnd"/>
    </w:p>
    <w:p w14:paraId="7B59AAE0" w14:textId="77777777" w:rsidR="00056AEE" w:rsidRDefault="00A00CB7" w:rsidP="003A38F8">
      <w:pPr>
        <w:pStyle w:val="Paragraphedeliste"/>
        <w:numPr>
          <w:ilvl w:val="0"/>
          <w:numId w:val="34"/>
        </w:numPr>
      </w:pPr>
      <w:r>
        <w:rPr>
          <w:color w:val="000000"/>
        </w:rPr>
        <w:lastRenderedPageBreak/>
        <w:t xml:space="preserve">Research funders and policymakers support the generation of knowledge related, but not limited, to cardiovascular diseases, prevention and public health, diet related diseases and nano medical technologies, and have access to and make use of the evidence on the benefits and drawbacks of health interventions, in particular for optimising clinical management, personalised medicine (coordinating with the European Partnership for Personalised Medicine) and avoiding </w:t>
      </w:r>
      <w:proofErr w:type="gramStart"/>
      <w:r>
        <w:rPr>
          <w:color w:val="000000"/>
        </w:rPr>
        <w:t>overtreatment;</w:t>
      </w:r>
      <w:proofErr w:type="gramEnd"/>
    </w:p>
    <w:p w14:paraId="39FD59B9" w14:textId="77777777" w:rsidR="00056AEE" w:rsidRDefault="00A00CB7" w:rsidP="003A38F8">
      <w:pPr>
        <w:pStyle w:val="Paragraphedeliste"/>
        <w:numPr>
          <w:ilvl w:val="0"/>
          <w:numId w:val="34"/>
        </w:numPr>
      </w:pPr>
      <w:r>
        <w:rPr>
          <w:color w:val="000000"/>
        </w:rPr>
        <w:t xml:space="preserve">In addition to the well-established regular Joint Transnational Calls </w:t>
      </w:r>
      <w:proofErr w:type="gramStart"/>
      <w:r>
        <w:rPr>
          <w:color w:val="000000"/>
        </w:rPr>
        <w:t>in the area of</w:t>
      </w:r>
      <w:proofErr w:type="gramEnd"/>
      <w:r>
        <w:rPr>
          <w:color w:val="000000"/>
        </w:rPr>
        <w:t xml:space="preserve"> pre-clinical research, research funders and policymakers use the funding scheme developed in the Phase 1 of the European partnership fostering a European Research Area (ERA) for health research (ERA4Health) to support testing of health interventions in the clinical setting at European level. Therefore, the research community, independently from private interest, can conduct large-scale multi-country Investigator-Initiated Clinical Studies (IICSs)</w:t>
      </w:r>
      <w:r>
        <w:rPr>
          <w:vertAlign w:val="superscript"/>
        </w:rPr>
        <w:footnoteReference w:id="113"/>
      </w:r>
      <w:r>
        <w:rPr>
          <w:color w:val="000000"/>
        </w:rPr>
        <w:t xml:space="preserve"> of various health interventions addressing important public health needs in a seamless way, effectively addressing known challenges and obstacles related to, for example, appropriate study design, ethics (including special patient groups</w:t>
      </w:r>
      <w:r>
        <w:rPr>
          <w:vertAlign w:val="superscript"/>
        </w:rPr>
        <w:footnoteReference w:id="114"/>
      </w:r>
      <w:r>
        <w:rPr>
          <w:color w:val="000000"/>
        </w:rPr>
        <w:t>), regulatory and institutional approvals, patient recruitment, management of informed consent, as well as, biobanking of human samples;</w:t>
      </w:r>
    </w:p>
    <w:p w14:paraId="4767DBE8" w14:textId="77777777" w:rsidR="00056AEE" w:rsidRDefault="00A00CB7" w:rsidP="003A38F8">
      <w:pPr>
        <w:pStyle w:val="Paragraphedeliste"/>
        <w:numPr>
          <w:ilvl w:val="0"/>
          <w:numId w:val="34"/>
        </w:numPr>
      </w:pPr>
      <w:r>
        <w:rPr>
          <w:color w:val="000000"/>
        </w:rPr>
        <w:t xml:space="preserve">Public health research systems in the ERA are more effective and integrated. Utilisation of health services, preventative measures, technologies, tools and digital solutions are more </w:t>
      </w:r>
      <w:proofErr w:type="gramStart"/>
      <w:r>
        <w:rPr>
          <w:color w:val="000000"/>
        </w:rPr>
        <w:t>cost-effective;</w:t>
      </w:r>
      <w:proofErr w:type="gramEnd"/>
    </w:p>
    <w:p w14:paraId="766C3AFB" w14:textId="77777777" w:rsidR="00056AEE" w:rsidRDefault="00A00CB7" w:rsidP="003A38F8">
      <w:pPr>
        <w:pStyle w:val="Paragraphedeliste"/>
        <w:numPr>
          <w:ilvl w:val="0"/>
          <w:numId w:val="34"/>
        </w:numPr>
      </w:pPr>
      <w:r>
        <w:rPr>
          <w:color w:val="000000"/>
        </w:rPr>
        <w:t xml:space="preserve">Health and care authorities, policymakers and other stakeholders use the research results to develop evidence-based strategies and policies, and deploy good practices to European countries and </w:t>
      </w:r>
      <w:proofErr w:type="gramStart"/>
      <w:r>
        <w:rPr>
          <w:color w:val="000000"/>
        </w:rPr>
        <w:t>regions;</w:t>
      </w:r>
      <w:proofErr w:type="gramEnd"/>
    </w:p>
    <w:p w14:paraId="311F9802" w14:textId="77777777" w:rsidR="00056AEE" w:rsidRDefault="00A00CB7" w:rsidP="003A38F8">
      <w:pPr>
        <w:pStyle w:val="Paragraphedeliste"/>
        <w:numPr>
          <w:ilvl w:val="0"/>
          <w:numId w:val="34"/>
        </w:numPr>
      </w:pPr>
      <w:r>
        <w:rPr>
          <w:color w:val="000000"/>
        </w:rPr>
        <w:t xml:space="preserve">Patients and citizens are more knowledgeable about disease threats and contribute to a patient-centred decision-making process, assuring better adherence to knowledge-based disease management strategies and </w:t>
      </w:r>
      <w:proofErr w:type="gramStart"/>
      <w:r>
        <w:rPr>
          <w:color w:val="000000"/>
        </w:rPr>
        <w:t>policies;</w:t>
      </w:r>
      <w:proofErr w:type="gramEnd"/>
    </w:p>
    <w:p w14:paraId="24176310" w14:textId="77777777" w:rsidR="00056AEE" w:rsidRDefault="00A00CB7" w:rsidP="003A38F8">
      <w:pPr>
        <w:pStyle w:val="Paragraphedeliste"/>
        <w:numPr>
          <w:ilvl w:val="0"/>
          <w:numId w:val="34"/>
        </w:numPr>
      </w:pPr>
      <w:r>
        <w:rPr>
          <w:color w:val="000000"/>
        </w:rPr>
        <w:t xml:space="preserve">Countries cooperate better and use context-specific knowledge and evidence to make their health and care systems more sustainable and resilient with respect to upcoming needs and crises (complementary with other current and future co-funded European Partnerships with which strong links will be established). </w:t>
      </w:r>
    </w:p>
    <w:p w14:paraId="30402A97" w14:textId="77777777" w:rsidR="00056AEE" w:rsidRDefault="00A00CB7">
      <w:r>
        <w:rPr>
          <w:u w:val="single"/>
        </w:rPr>
        <w:t>Scope</w:t>
      </w:r>
      <w:r>
        <w:t xml:space="preserve">: </w:t>
      </w:r>
      <w:r>
        <w:rPr>
          <w:color w:val="000000"/>
        </w:rPr>
        <w:t xml:space="preserve">There is a need for health research at the EU and Associated Countries level to be more efficient in delivering better and higher-quality solutions for prevention, detection, diagnosis, treatment, and management of diseases, as well as providing better and equal access and affordable healthcare systems to the citizens. Additionally, the high quality of </w:t>
      </w:r>
      <w:r>
        <w:rPr>
          <w:color w:val="000000"/>
        </w:rPr>
        <w:lastRenderedPageBreak/>
        <w:t>evidence generated by the large multi-country clinical trials comparing to fragmented national or regional efforts confirmed the added value of multinational collaboration, supported by multinational funding schemes. In this regard, a European partnership proposing a new model for impactful multinational collaborations in funding health research is a key initiative to play a central role in addressing public health needs.</w:t>
      </w:r>
    </w:p>
    <w:p w14:paraId="28AEAB2A" w14:textId="77777777" w:rsidR="00056AEE" w:rsidRDefault="00A00CB7">
      <w:r>
        <w:rPr>
          <w:color w:val="000000"/>
        </w:rPr>
        <w:t>ERA4Health</w:t>
      </w:r>
      <w:r>
        <w:rPr>
          <w:vertAlign w:val="superscript"/>
        </w:rPr>
        <w:footnoteReference w:id="115"/>
      </w:r>
      <w:r>
        <w:rPr>
          <w:color w:val="000000"/>
        </w:rPr>
        <w:t xml:space="preserve"> - “Fostering a European Research Area for Health Research” - (Grant Agreement: 101095426) is a co-funded European Partnership in health research that aims to increase European transnational collaborative research funding by creating a funding body for joint programming in priority areas addressing European public health needs. It started in November 2022 and brings together 33 entities from 22 countries from the EU as well as Associated and Third countries. During Phase 1 (first 2 years), the main activities of the ERA4Health consortium were:</w:t>
      </w:r>
    </w:p>
    <w:p w14:paraId="4FE92899" w14:textId="77777777" w:rsidR="00056AEE" w:rsidRDefault="00A00CB7" w:rsidP="003A38F8">
      <w:pPr>
        <w:pStyle w:val="Paragraphedeliste"/>
        <w:numPr>
          <w:ilvl w:val="0"/>
          <w:numId w:val="35"/>
        </w:numPr>
      </w:pPr>
      <w:r>
        <w:rPr>
          <w:color w:val="000000"/>
        </w:rPr>
        <w:t xml:space="preserve">organisation of 4 Joint Translational Calls (JTCs) focused on prevention and public health, nutrition and lifestyle-related diseases, cardiovascular diseases and </w:t>
      </w:r>
      <w:proofErr w:type="gramStart"/>
      <w:r>
        <w:rPr>
          <w:color w:val="000000"/>
        </w:rPr>
        <w:t>nanomedicine;</w:t>
      </w:r>
      <w:proofErr w:type="gramEnd"/>
    </w:p>
    <w:p w14:paraId="3EC75438" w14:textId="77777777" w:rsidR="00056AEE" w:rsidRDefault="00A00CB7" w:rsidP="003A38F8">
      <w:pPr>
        <w:pStyle w:val="Paragraphedeliste"/>
        <w:numPr>
          <w:ilvl w:val="0"/>
          <w:numId w:val="35"/>
        </w:numPr>
      </w:pPr>
      <w:r>
        <w:rPr>
          <w:color w:val="000000"/>
        </w:rPr>
        <w:t xml:space="preserve">analysis of challenges and bottlenecks for investigator-initiated clinical research in the EU and Associated Countries, preparation of the supporting framework and a launch of a pilot JTC on multi-country </w:t>
      </w:r>
      <w:proofErr w:type="gramStart"/>
      <w:r>
        <w:rPr>
          <w:color w:val="000000"/>
        </w:rPr>
        <w:t>IICS;</w:t>
      </w:r>
      <w:proofErr w:type="gramEnd"/>
    </w:p>
    <w:p w14:paraId="7FF6ABA0" w14:textId="77777777" w:rsidR="00056AEE" w:rsidRDefault="00A00CB7" w:rsidP="003A38F8">
      <w:pPr>
        <w:pStyle w:val="Paragraphedeliste"/>
        <w:numPr>
          <w:ilvl w:val="0"/>
          <w:numId w:val="35"/>
        </w:numPr>
      </w:pPr>
      <w:r>
        <w:rPr>
          <w:color w:val="000000"/>
        </w:rPr>
        <w:t xml:space="preserve">developing collaboration on transversal activities, including for instance Responsible Research and Innovation guidelines, enhancing the ERA and health ecosystem, capacity building, etc. </w:t>
      </w:r>
    </w:p>
    <w:p w14:paraId="35231DAD" w14:textId="77777777" w:rsidR="00056AEE" w:rsidRDefault="00A00CB7">
      <w:proofErr w:type="gramStart"/>
      <w:r>
        <w:rPr>
          <w:color w:val="000000"/>
        </w:rPr>
        <w:t>Taking into account</w:t>
      </w:r>
      <w:proofErr w:type="gramEnd"/>
      <w:r>
        <w:rPr>
          <w:color w:val="000000"/>
        </w:rPr>
        <w:t xml:space="preserve"> that the present action is a continuation of the topic HORIZON-HLTH-2022-DISEASE-03-01 “European partnership fostering a European Research Area (ERA) for health research” and foresees an amendment to the existing grant agreement, the proposal should present the additional activities (including additional partners) to be covered by the award primarily in terms of grant agreement revisions.</w:t>
      </w:r>
    </w:p>
    <w:p w14:paraId="1F3635C4" w14:textId="77777777" w:rsidR="00056AEE" w:rsidRDefault="00A00CB7">
      <w:r>
        <w:rPr>
          <w:color w:val="000000"/>
        </w:rPr>
        <w:t xml:space="preserve">The award of a grant to continue the Partnership in accordance with this call should be based on a proposal submitted by the coordinator of the consortium funded under HORIZON-HLTH-2022-DISEASE-03-01 “European partnership fostering a European Research Area (ERA) for health research” and the additional activities (which may include additional partners) to be funded by the grant should be subject to an evaluation. This evaluation should </w:t>
      </w:r>
      <w:proofErr w:type="gramStart"/>
      <w:r>
        <w:rPr>
          <w:color w:val="000000"/>
        </w:rPr>
        <w:t>take into account</w:t>
      </w:r>
      <w:proofErr w:type="gramEnd"/>
      <w:r>
        <w:rPr>
          <w:color w:val="000000"/>
        </w:rPr>
        <w:t xml:space="preserve"> the existing context and the scope of the initial evaluation as relevant, and related obligations enshrined in the grant agreement.</w:t>
      </w:r>
    </w:p>
    <w:p w14:paraId="7DB9515A" w14:textId="77777777" w:rsidR="00056AEE" w:rsidRDefault="00A00CB7">
      <w:r>
        <w:rPr>
          <w:color w:val="000000"/>
        </w:rPr>
        <w:t xml:space="preserve">In this context, based on the funding scheme to support non-commercial clinical research developed during Phase 1, the main activities of the ERA4Health partnership in Phase 2 will mostly focus on additional JTCs on multi-country IICS in well-defined priority areas. In addition, the partnership’s activities initiated in Phase 1 will also be continued in Phase 2. The unique composition of the consortium gathering national funders with their competency and </w:t>
      </w:r>
      <w:r>
        <w:rPr>
          <w:color w:val="000000"/>
        </w:rPr>
        <w:lastRenderedPageBreak/>
        <w:t>experience in funding health research, and links to respective ministries of research and/or health in their home countries or regions guarantees successful continuation of the current partnership via this non-competitive call under an Article 24(2) Horizon Europe Regulation action that allows for the addition of new activities to existing grant agreements (also including new additional partners where relevant).</w:t>
      </w:r>
    </w:p>
    <w:p w14:paraId="4972EFE4" w14:textId="77777777" w:rsidR="00056AEE" w:rsidRDefault="00A00CB7">
      <w:r>
        <w:rPr>
          <w:color w:val="000000"/>
        </w:rPr>
        <w:t>Phase 2 will benefit from already established effective governance mechanism to achieve the following additional objectives:</w:t>
      </w:r>
    </w:p>
    <w:p w14:paraId="5969E3F4" w14:textId="77777777" w:rsidR="00056AEE" w:rsidRDefault="00A00CB7" w:rsidP="003A38F8">
      <w:pPr>
        <w:pStyle w:val="Paragraphedeliste"/>
        <w:numPr>
          <w:ilvl w:val="0"/>
          <w:numId w:val="36"/>
        </w:numPr>
      </w:pPr>
      <w:r>
        <w:rPr>
          <w:color w:val="000000"/>
        </w:rPr>
        <w:t>Bringing together different stakeholders (e.g. research funders, health authorities, health and care institutions, innovators, policymakers), to update and implement the Partnership’s long-term Strategic Research and Innovation Agenda that should reflect more extended focus on multi-country IICS in the EU and Associated Countries.</w:t>
      </w:r>
    </w:p>
    <w:p w14:paraId="4E5AF795" w14:textId="77777777" w:rsidR="00056AEE" w:rsidRDefault="00A00CB7" w:rsidP="003A38F8">
      <w:pPr>
        <w:pStyle w:val="Paragraphedeliste"/>
        <w:numPr>
          <w:ilvl w:val="0"/>
          <w:numId w:val="36"/>
        </w:numPr>
      </w:pPr>
      <w:r>
        <w:rPr>
          <w:color w:val="000000"/>
        </w:rPr>
        <w:t>Using the novel funding mechanism developed during Phase 1, to enlarge the Partnership’s activities related to non-commercial clinical studies, including identification of specific topics, pooling of -funding, and launching JTCs for EU- and Associated Countries-wide multi-country IICSs on various health interventions</w:t>
      </w:r>
      <w:r>
        <w:rPr>
          <w:vertAlign w:val="superscript"/>
        </w:rPr>
        <w:footnoteReference w:id="116"/>
      </w:r>
      <w:r>
        <w:rPr>
          <w:color w:val="000000"/>
        </w:rPr>
        <w:t xml:space="preserve"> addressing important public health needs.</w:t>
      </w:r>
    </w:p>
    <w:p w14:paraId="12D8F735" w14:textId="77777777" w:rsidR="00056AEE" w:rsidRDefault="00A00CB7" w:rsidP="003A38F8">
      <w:pPr>
        <w:pStyle w:val="Paragraphedeliste"/>
        <w:numPr>
          <w:ilvl w:val="0"/>
          <w:numId w:val="36"/>
        </w:numPr>
      </w:pPr>
      <w:r>
        <w:rPr>
          <w:color w:val="000000"/>
        </w:rPr>
        <w:t xml:space="preserve">To continue providing support and building capacity, </w:t>
      </w:r>
      <w:proofErr w:type="gramStart"/>
      <w:r>
        <w:rPr>
          <w:color w:val="000000"/>
        </w:rPr>
        <w:t>in particular in</w:t>
      </w:r>
      <w:proofErr w:type="gramEnd"/>
      <w:r>
        <w:rPr>
          <w:color w:val="000000"/>
        </w:rPr>
        <w:t xml:space="preserve"> conducting multi-country IICSs at European scale. </w:t>
      </w:r>
    </w:p>
    <w:p w14:paraId="28906B32" w14:textId="77777777" w:rsidR="00056AEE" w:rsidRDefault="00A00CB7">
      <w:r>
        <w:rPr>
          <w:color w:val="000000"/>
        </w:rPr>
        <w:t xml:space="preserve">All types of clinical studies falling under the Clinical Trials Regulation (EU) 536/2014, including low-interventional trials (e.g. pragmatic trials to optimise treatment), may be supported by this Partnership. In particular, proposed multi-country IICSs should </w:t>
      </w:r>
      <w:proofErr w:type="spellStart"/>
      <w:r>
        <w:rPr>
          <w:color w:val="000000"/>
        </w:rPr>
        <w:t>i</w:t>
      </w:r>
      <w:proofErr w:type="spellEnd"/>
      <w:r>
        <w:rPr>
          <w:color w:val="000000"/>
        </w:rPr>
        <w:t>) establish new indications of a given existing health intervention for condition</w:t>
      </w:r>
      <w:r>
        <w:rPr>
          <w:color w:val="000000"/>
          <w:u w:val="single"/>
        </w:rPr>
        <w:t>s</w:t>
      </w:r>
      <w:r>
        <w:rPr>
          <w:color w:val="000000"/>
        </w:rPr>
        <w:t xml:space="preserve"> where alternative solutions do not exist or are sub-optimal (repurposing); ii) optimise or develop new, personalised care pathways (avoiding overlaps with activities of the European Partnership for Personalised Medicine</w:t>
      </w:r>
      <w:r>
        <w:rPr>
          <w:vertAlign w:val="superscript"/>
        </w:rPr>
        <w:footnoteReference w:id="117"/>
      </w:r>
      <w:r>
        <w:rPr>
          <w:color w:val="000000"/>
        </w:rPr>
        <w:t>); iii) support the development of new health interventions with clear relative clinical efficacy/effectiveness compared to existing alternatives (including preventative measures); iv) accelerate the uptake of new interventions by healthcare systems.</w:t>
      </w:r>
    </w:p>
    <w:p w14:paraId="476D26D2" w14:textId="77777777" w:rsidR="00056AEE" w:rsidRDefault="00A00CB7">
      <w:r>
        <w:rPr>
          <w:color w:val="000000"/>
        </w:rPr>
        <w:t>Support by European research infrastructures, required to perform multinational clinical studies at scale, will, in particular, build on the asset of existing research infrastructures, such as the European Clinical Research Infrastructure Network (ECRIN)</w:t>
      </w:r>
      <w:r>
        <w:rPr>
          <w:vertAlign w:val="superscript"/>
        </w:rPr>
        <w:footnoteReference w:id="118"/>
      </w:r>
      <w:r>
        <w:rPr>
          <w:color w:val="000000"/>
        </w:rPr>
        <w:t xml:space="preserve"> for sponsor-delegated activities related to implementation of clinical studies, and Biobanking and Biomolecular Resources Research Infrastructure (BBMRI)</w:t>
      </w:r>
      <w:r>
        <w:rPr>
          <w:vertAlign w:val="superscript"/>
        </w:rPr>
        <w:footnoteReference w:id="119"/>
      </w:r>
      <w:r>
        <w:rPr>
          <w:color w:val="000000"/>
        </w:rPr>
        <w:t xml:space="preserve"> for the management of </w:t>
      </w:r>
      <w:proofErr w:type="spellStart"/>
      <w:r>
        <w:rPr>
          <w:color w:val="000000"/>
        </w:rPr>
        <w:t>biosamples</w:t>
      </w:r>
      <w:proofErr w:type="spellEnd"/>
      <w:r>
        <w:rPr>
          <w:color w:val="000000"/>
        </w:rPr>
        <w:t xml:space="preserve"> and linked data that are generated under the studies.</w:t>
      </w:r>
    </w:p>
    <w:p w14:paraId="41770EF8" w14:textId="77777777" w:rsidR="00056AEE" w:rsidRDefault="00A00CB7">
      <w:r>
        <w:rPr>
          <w:color w:val="000000"/>
        </w:rPr>
        <w:t xml:space="preserve">Through pooling existing resources, eliminating redundancies and reducing fragmentation, the implementation of multi-country IICSs supported by this Partnership will benefit from better </w:t>
      </w:r>
      <w:r>
        <w:rPr>
          <w:color w:val="000000"/>
        </w:rPr>
        <w:lastRenderedPageBreak/>
        <w:t xml:space="preserve">access to high number of study participants/patients, medical expertise and facilities, enhanced methodological standards and shared costs, tools and procedures. Additionally, large-scale IICSs generate data on safety and effectiveness of a health intervention, often in real-world settings. They thus provide evidence to answer questions that clinicians face in their day-to-day practice </w:t>
      </w:r>
      <w:proofErr w:type="gramStart"/>
      <w:r>
        <w:rPr>
          <w:color w:val="000000"/>
        </w:rPr>
        <w:t>in order to</w:t>
      </w:r>
      <w:proofErr w:type="gramEnd"/>
      <w:r>
        <w:rPr>
          <w:color w:val="000000"/>
        </w:rPr>
        <w:t xml:space="preserve"> optimise the clinical management of patients beyond the context of marketing authorisation application for medicinal products. All these aspects will contribute to generate robust and reliable clinical evidence, increase the potential for broad implementation of research outcomes; prevent duplication of research efforts and allow broad uptake by health systems.</w:t>
      </w:r>
    </w:p>
    <w:p w14:paraId="0F862147" w14:textId="77777777" w:rsidR="00056AEE" w:rsidRDefault="00A00CB7">
      <w:r>
        <w:rPr>
          <w:color w:val="000000"/>
        </w:rPr>
        <w:t>In the context of new activities of Phase 2, this Partnership will be open to public funders of health research at both national and regional levels in the Member States, countries associated to Horizon Europe and to other health research funders such as philanthropic organisations. Additional, special attention should be placed on inclusion or engagement with the following actors:</w:t>
      </w:r>
    </w:p>
    <w:p w14:paraId="27B76AD3" w14:textId="77777777" w:rsidR="00056AEE" w:rsidRDefault="00A00CB7" w:rsidP="003A38F8">
      <w:pPr>
        <w:pStyle w:val="Paragraphedeliste"/>
        <w:numPr>
          <w:ilvl w:val="0"/>
          <w:numId w:val="37"/>
        </w:numPr>
      </w:pPr>
      <w:r>
        <w:rPr>
          <w:color w:val="000000"/>
        </w:rPr>
        <w:t xml:space="preserve">Ministries in charge of R&amp;I policy, as well as national and regional R&amp;I and technology funding agencies and </w:t>
      </w:r>
      <w:proofErr w:type="gramStart"/>
      <w:r>
        <w:rPr>
          <w:color w:val="000000"/>
        </w:rPr>
        <w:t>foundations;</w:t>
      </w:r>
      <w:proofErr w:type="gramEnd"/>
    </w:p>
    <w:p w14:paraId="4289E5D0" w14:textId="77777777" w:rsidR="00056AEE" w:rsidRDefault="00A00CB7" w:rsidP="003A38F8">
      <w:pPr>
        <w:pStyle w:val="Paragraphedeliste"/>
        <w:numPr>
          <w:ilvl w:val="0"/>
          <w:numId w:val="37"/>
        </w:numPr>
      </w:pPr>
      <w:r>
        <w:rPr>
          <w:color w:val="000000"/>
        </w:rPr>
        <w:t xml:space="preserve">Ministries in charge of health and care policy, as well as national and regional health and care authorities, organisations and providers. </w:t>
      </w:r>
    </w:p>
    <w:p w14:paraId="3F422924" w14:textId="77777777" w:rsidR="00056AEE" w:rsidRDefault="00A00CB7">
      <w:r>
        <w:rPr>
          <w:color w:val="000000"/>
        </w:rPr>
        <w:t>The Partnership may also encourage engagement with other relevant Ministries and research funders. It will involve other key actors from civil society and end-users, research and innovation community, innovation owners, health and care systems owners/organisers and health and care agencies.</w:t>
      </w:r>
    </w:p>
    <w:p w14:paraId="683115FA" w14:textId="77777777" w:rsidR="00056AEE" w:rsidRDefault="00A00CB7">
      <w:r>
        <w:rPr>
          <w:color w:val="000000"/>
        </w:rPr>
        <w:t>Cooperation with international organisations, and non-European institutions and experts may be considered. Participation of third countries is encouraged. The commitments to the partnership of entities not eligible for funding will not be counted towards the calculation of the EU funding to the partnership. Third country applicants should describe in their proposal the modalities for their collaboration and the aims they want to achieve with this kind of collaboration.</w:t>
      </w:r>
    </w:p>
    <w:p w14:paraId="3E251819" w14:textId="77777777" w:rsidR="00056AEE" w:rsidRDefault="00A00CB7">
      <w:r>
        <w:rPr>
          <w:color w:val="000000"/>
        </w:rPr>
        <w:t xml:space="preserve">The proposal should pool the necessary financial resources from the participating research programmes with a view to implementing joint calls for transnational proposals resulting in grants to third parties. Financial support provided by the participants to third parties is one of the primary activities of this action </w:t>
      </w:r>
      <w:proofErr w:type="gramStart"/>
      <w:r>
        <w:rPr>
          <w:color w:val="000000"/>
        </w:rPr>
        <w:t>in order to</w:t>
      </w:r>
      <w:proofErr w:type="gramEnd"/>
      <w:r>
        <w:rPr>
          <w:color w:val="000000"/>
        </w:rPr>
        <w:t xml:space="preserve"> be able to achieve its objectives.</w:t>
      </w:r>
    </w:p>
    <w:p w14:paraId="301A4FB9" w14:textId="77777777" w:rsidR="00056AEE" w:rsidRDefault="00A00CB7">
      <w:r>
        <w:rPr>
          <w:color w:val="000000"/>
        </w:rPr>
        <w:t xml:space="preserve">When defining calls for proposals, this partnership needs to consider sex and gender aspects, and it needs to consider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7C714179" w14:textId="77777777" w:rsidR="00056AEE" w:rsidRDefault="00A00CB7">
      <w:r>
        <w:rPr>
          <w:color w:val="000000"/>
        </w:rPr>
        <w:t>The expected duration of Phase 2 of the partnership should not exceed seven years.</w:t>
      </w:r>
    </w:p>
    <w:p w14:paraId="1FE9B3EC" w14:textId="77777777" w:rsidR="00056AEE" w:rsidRDefault="00A00CB7">
      <w:r>
        <w:rPr>
          <w:color w:val="000000"/>
        </w:rPr>
        <w:lastRenderedPageBreak/>
        <w:t>For Phase 2 (up to 7 years) the EU contribution is limited to 30% of the eligible costs of the action with a maximum of EUR 77 million. At least 70% of the EU contribution of Phase 2 must be devoted to activities related to funding multi-country IICSs. The total EU contribution for the overall duration is expected to be EUR 110 million (EUR 33 million already attributed for Phase 1 and EUR 77 million for Phase 2, provided Member States commit matching funds).</w:t>
      </w:r>
    </w:p>
    <w:p w14:paraId="63A82D0A" w14:textId="77777777" w:rsidR="00056AEE" w:rsidRPr="006372DB" w:rsidRDefault="00A00CB7">
      <w:pPr>
        <w:pStyle w:val="HeadingTwo"/>
        <w:rPr>
          <w:lang w:val="en-US"/>
        </w:rPr>
      </w:pPr>
      <w:bookmarkStart w:id="23" w:name="_Toc171689870"/>
      <w:r w:rsidRPr="006372DB">
        <w:rPr>
          <w:lang w:val="en-US"/>
        </w:rPr>
        <w:t>Destination - Ensuring equal access to innovative, sustainable, and high-quality healthcare</w:t>
      </w:r>
      <w:bookmarkEnd w:id="23"/>
    </w:p>
    <w:p w14:paraId="45D4BD56" w14:textId="77777777" w:rsidR="00056AEE" w:rsidRDefault="00A00CB7">
      <w:r>
        <w:rPr>
          <w:color w:val="000000"/>
        </w:rPr>
        <w:t>Calls for proposals under this destination are directed towards the Key Strategic Orientation 2 “</w:t>
      </w:r>
      <w:r>
        <w:rPr>
          <w:i/>
          <w:color w:val="000000"/>
        </w:rPr>
        <w:t>The Digital transition</w:t>
      </w:r>
      <w:r>
        <w:rPr>
          <w:color w:val="000000"/>
        </w:rPr>
        <w:t>” and Key Strategic Orientation 3 “</w:t>
      </w:r>
      <w:r>
        <w:rPr>
          <w:i/>
          <w:color w:val="000000"/>
        </w:rPr>
        <w:t>A more resilient, competitive, inclusive, and democratic Europe</w:t>
      </w:r>
      <w:r>
        <w:rPr>
          <w:color w:val="000000"/>
        </w:rPr>
        <w:t>” of Horizon Europe’s Strategic Plan 2025-2027.</w:t>
      </w:r>
    </w:p>
    <w:p w14:paraId="0D706AE1" w14:textId="77777777" w:rsidR="00056AEE" w:rsidRDefault="00A00CB7">
      <w:r>
        <w:rPr>
          <w:color w:val="000000"/>
        </w:rPr>
        <w:t xml:space="preserve">Research and Innovation supported under this destination should contribute to the following expected impact, set out in the Strategic Plan for the Health Cluster </w:t>
      </w:r>
      <w:r>
        <w:rPr>
          <w:i/>
          <w:color w:val="000000"/>
        </w:rPr>
        <w:t xml:space="preserve">“healthcare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w:t>
      </w:r>
      <w:proofErr w:type="gramStart"/>
      <w:r>
        <w:rPr>
          <w:i/>
          <w:color w:val="000000"/>
        </w:rPr>
        <w:t>and also</w:t>
      </w:r>
      <w:proofErr w:type="gramEnd"/>
      <w:r>
        <w:rPr>
          <w:i/>
          <w:color w:val="000000"/>
        </w:rPr>
        <w:t xml:space="preserve"> improved evidence-informed health policies”.</w:t>
      </w:r>
    </w:p>
    <w:p w14:paraId="2CC0FD06" w14:textId="77777777" w:rsidR="00056AEE" w:rsidRDefault="00A00CB7">
      <w:r>
        <w:rPr>
          <w:color w:val="000000"/>
        </w:rPr>
        <w:t xml:space="preserve">Health systems are affected by limitations in sustainability and resilience, challenges which were reinforced by the COVID-19 crisis that also revealed inequalities in access to high-quality healthcare services. Our health systems need to become more effective, efficient, accessible, fiscally and environmentally sustainable, and resilient </w:t>
      </w:r>
      <w:proofErr w:type="gramStart"/>
      <w:r>
        <w:rPr>
          <w:color w:val="000000"/>
        </w:rPr>
        <w:t>in order to</w:t>
      </w:r>
      <w:proofErr w:type="gramEnd"/>
      <w:r>
        <w:rPr>
          <w:color w:val="000000"/>
        </w:rPr>
        <w:t xml:space="preserve"> cope with public health emergencies, support healthcare workforce, adapt to environmental challenges like climate change, and contribute to social justice and cohesion. The transformation and modernisation of our health systems will remain an important challenge for many years to come, but it also holds a significant opportunity to generate evidence, leverage existing and emerging solutions, implement digital and data-driven innovation and develop more accessible, cost-effective, flexible and equitable health systems.</w:t>
      </w:r>
    </w:p>
    <w:p w14:paraId="02B7AD5E" w14:textId="77777777" w:rsidR="00056AEE" w:rsidRDefault="00A00CB7">
      <w:r>
        <w:rPr>
          <w:color w:val="000000"/>
        </w:rPr>
        <w:t>Research and Innovation under this destination aim to support healthcare systems in their transformation to ensure fair access to high-quality, sustainable healthcare for all citizens. Funded activities should develop innovative, practical, financially sound, and scalable solutions across various dimensions of healthcare systems. These activities should improve governance and provide decision-makers with new evidence, innovative tools and technologies while ensuring long-term fiscal, environmental and climate sustainability, making sure the health sector reduces its carbon footprint and supports sustainable use of resources. A patient-centred approach should be adopted to improve patients’ health outcomes, empower patients, foster active dialogue among stakeholders (e.g., citizens, patients, caregivers, healthcare providers), and encourage social innovation. Support to healthcare professionals and providers, with an adequate allocation of resources according to citizen’s needs and preferences, are key in these Research and Innovation actions.</w:t>
      </w:r>
    </w:p>
    <w:p w14:paraId="5B82AEFC" w14:textId="77777777" w:rsidR="00056AEE" w:rsidRDefault="00A00CB7">
      <w:r>
        <w:rPr>
          <w:color w:val="000000"/>
        </w:rPr>
        <w:lastRenderedPageBreak/>
        <w:t>Research and Innovation should help deliver solutions that are scalable and transferable between different types of healthcare systems in different national, regional, and local contexts. It should also provide knowledge that supports the transfer of solutions between countries, including measures to address health inequalities. Research and Innovation activities under this destination will contribute to, among other things, the European care strategy</w:t>
      </w:r>
      <w:r>
        <w:rPr>
          <w:vertAlign w:val="superscript"/>
        </w:rPr>
        <w:footnoteReference w:id="120"/>
      </w:r>
      <w:r>
        <w:rPr>
          <w:color w:val="000000"/>
        </w:rPr>
        <w:t>, the digital transformation of health and care in the EU</w:t>
      </w:r>
      <w:r>
        <w:rPr>
          <w:vertAlign w:val="superscript"/>
        </w:rPr>
        <w:footnoteReference w:id="121"/>
      </w:r>
      <w:r>
        <w:rPr>
          <w:color w:val="000000"/>
        </w:rPr>
        <w:t>, the EU digital strategy, the EU Artificial Intelligence Strategy</w:t>
      </w:r>
      <w:r>
        <w:rPr>
          <w:vertAlign w:val="superscript"/>
        </w:rPr>
        <w:footnoteReference w:id="122"/>
      </w:r>
      <w:r>
        <w:rPr>
          <w:color w:val="000000"/>
        </w:rPr>
        <w:t>, the strategic investment framework in trustworthy Artificial Intelligence for the Union</w:t>
      </w:r>
      <w:r>
        <w:rPr>
          <w:vertAlign w:val="superscript"/>
        </w:rPr>
        <w:footnoteReference w:id="123"/>
      </w:r>
      <w:r>
        <w:rPr>
          <w:color w:val="000000"/>
        </w:rPr>
        <w:t>, the EU strategy on adaptation to climate change</w:t>
      </w:r>
      <w:r>
        <w:rPr>
          <w:vertAlign w:val="superscript"/>
        </w:rPr>
        <w:footnoteReference w:id="124"/>
      </w:r>
      <w:r>
        <w:rPr>
          <w:color w:val="000000"/>
        </w:rPr>
        <w:t>, and the European Green Deal. They can also build upon and contribute to the Europe’s Beating Cancer Plan</w:t>
      </w:r>
      <w:r>
        <w:rPr>
          <w:vertAlign w:val="superscript"/>
        </w:rPr>
        <w:footnoteReference w:id="125"/>
      </w:r>
      <w:r>
        <w:rPr>
          <w:color w:val="000000"/>
        </w:rPr>
        <w:t xml:space="preserve"> and Cancer Mission under Horizon Europe.</w:t>
      </w:r>
    </w:p>
    <w:p w14:paraId="3F7FF076" w14:textId="77777777" w:rsidR="00056AEE" w:rsidRDefault="00A00CB7">
      <w:r>
        <w:rPr>
          <w:color w:val="000000"/>
        </w:rPr>
        <w:t>In this work programme, the focus of this destination will be on:</w:t>
      </w:r>
    </w:p>
    <w:p w14:paraId="2A38B376" w14:textId="77777777" w:rsidR="00056AEE" w:rsidRDefault="00A00CB7" w:rsidP="003A38F8">
      <w:pPr>
        <w:pStyle w:val="Paragraphedeliste"/>
        <w:numPr>
          <w:ilvl w:val="0"/>
          <w:numId w:val="38"/>
        </w:numPr>
      </w:pPr>
      <w:r>
        <w:rPr>
          <w:color w:val="000000"/>
        </w:rPr>
        <w:t>Enhancing healthcare efficiency and cost-effectiveness with Generative Artificial Intelligence (AI) solutions, augmented by other AI tools that aim to support healthcare professionals in decision making, offer improved personalised care, and to develop sustainable practices, by leveraging the availability of the different types of health data.</w:t>
      </w:r>
    </w:p>
    <w:p w14:paraId="5C49927A" w14:textId="77777777" w:rsidR="00056AEE" w:rsidRDefault="00A00CB7" w:rsidP="003A38F8">
      <w:pPr>
        <w:pStyle w:val="Paragraphedeliste"/>
        <w:numPr>
          <w:ilvl w:val="0"/>
          <w:numId w:val="38"/>
        </w:numPr>
      </w:pPr>
      <w:r>
        <w:rPr>
          <w:color w:val="000000"/>
        </w:rPr>
        <w:t xml:space="preserve">Improving patient engagement and empowerment by increasing public knowledge, trust and acceptance of AI tools, leading to better understanding of medical information and to improved patient outcomes, while also improving the communication between patients and healthcare providers, as well as between healthcare providers. </w:t>
      </w:r>
    </w:p>
    <w:p w14:paraId="0D853FA5" w14:textId="77777777" w:rsidR="00056AEE" w:rsidRDefault="00A00CB7">
      <w:r>
        <w:rPr>
          <w:color w:val="000000"/>
        </w:rPr>
        <w:t xml:space="preserve">To increase the impact of EU investments under Horizon Europe, the European Commission encourages and supports cooperation among EU-funded projects to foster cross-fertilisation and synergies. This includes networking, joint activities such as workshops, knowledge exchange, best practices development, and joint communication activities. Synergies can be explored not only between projects funded under the same topic, but also between projects funded under other topics, Clusters or pillars of Horizon Europe. For instance, collaborations may arise between projects related to European health research infrastructures (under Pillar I), the EIC strategic challenges on health (under Pillar III ), or across the Clusters of Pillar II such as Cluster 2 “Culture, Creativity and Inclusive Society” focusing e.g., on the long-term sustainability of public health systems (e.g., economic and organisational models and </w:t>
      </w:r>
      <w:r>
        <w:rPr>
          <w:color w:val="000000"/>
        </w:rPr>
        <w:lastRenderedPageBreak/>
        <w:t>measures for cost effectiveness and fiscal sustainability), or Cluster 4 “Digital, Industry and Space” focusing on the digitalisation of the health sector, including the use of AI.</w:t>
      </w:r>
    </w:p>
    <w:p w14:paraId="4BE750F1" w14:textId="77777777" w:rsidR="00056AEE" w:rsidRDefault="00A00CB7">
      <w:r>
        <w:rPr>
          <w:color w:val="000000"/>
          <w:u w:val="single"/>
        </w:rPr>
        <w:t>Expected impacts</w:t>
      </w:r>
      <w:r>
        <w:rPr>
          <w:color w:val="000000"/>
        </w:rPr>
        <w:t>:</w:t>
      </w:r>
    </w:p>
    <w:p w14:paraId="041909A4" w14:textId="77777777" w:rsidR="00056AEE" w:rsidRDefault="00A00CB7">
      <w:r>
        <w:rPr>
          <w:color w:val="000000"/>
        </w:rPr>
        <w:t>Proposals for topics under this destination should set out a credible pathway to contributing to ensuring access to innovative, sustainable and high-quality healthcare, and more specifically to one or several of the following impacts:</w:t>
      </w:r>
    </w:p>
    <w:p w14:paraId="4F93951F" w14:textId="77777777" w:rsidR="00056AEE" w:rsidRDefault="00A00CB7" w:rsidP="003A38F8">
      <w:pPr>
        <w:pStyle w:val="Paragraphedeliste"/>
        <w:numPr>
          <w:ilvl w:val="0"/>
          <w:numId w:val="39"/>
        </w:numPr>
      </w:pPr>
      <w:r>
        <w:rPr>
          <w:color w:val="000000"/>
        </w:rPr>
        <w:t>Health and social care services and systems have improved governance mechanisms, making them more effective, efficient, accessible, resilient, trusted and sustainable, both fiscally and environmentally. This includes shifting from hospital-centred to community-based, people-centred and integrated healthcare structures, embedding technological innovations and prioritising health promotion and disease prevention.</w:t>
      </w:r>
    </w:p>
    <w:p w14:paraId="6BCC971B" w14:textId="77777777" w:rsidR="00056AEE" w:rsidRDefault="00A00CB7" w:rsidP="003A38F8">
      <w:pPr>
        <w:pStyle w:val="Paragraphedeliste"/>
        <w:numPr>
          <w:ilvl w:val="0"/>
          <w:numId w:val="39"/>
        </w:numPr>
      </w:pPr>
      <w:r>
        <w:rPr>
          <w:color w:val="000000"/>
        </w:rPr>
        <w:t>Healthcare providers are trained and equipped with the skills and competences needed for future healthcare systems that are modernised, digitally transformed and equipped with safe innovative tools, technologies and digital solutions for healthcare. This will involve better patient management, improved patient engagement, reorganised workflows, and improved resource management.</w:t>
      </w:r>
    </w:p>
    <w:p w14:paraId="22CDE6A3" w14:textId="77777777" w:rsidR="00056AEE" w:rsidRDefault="00A00CB7" w:rsidP="003A38F8">
      <w:pPr>
        <w:pStyle w:val="Paragraphedeliste"/>
        <w:numPr>
          <w:ilvl w:val="0"/>
          <w:numId w:val="39"/>
        </w:numPr>
      </w:pPr>
      <w:r>
        <w:rPr>
          <w:color w:val="000000"/>
        </w:rPr>
        <w:t>Citizens play a key role in managing their own healthcare, informal carers (including unpaid carers) are fully supported (e.g. by preventing overburdening and economic stress) and the specific needs of vulnerable groups are recognised and addressed. This includes improved access to healthcare services, financial risk protection, timely access to quality healthcare services including essential medicines and vaccines.</w:t>
      </w:r>
    </w:p>
    <w:p w14:paraId="5015D08F" w14:textId="77777777" w:rsidR="00056AEE" w:rsidRDefault="00A00CB7" w:rsidP="003A38F8">
      <w:pPr>
        <w:pStyle w:val="Paragraphedeliste"/>
        <w:numPr>
          <w:ilvl w:val="0"/>
          <w:numId w:val="39"/>
        </w:numPr>
      </w:pPr>
      <w:r>
        <w:rPr>
          <w:color w:val="000000"/>
        </w:rPr>
        <w:t xml:space="preserve">Health policy and systems adopt a holistic approach - considering individuals, communities, organisations, society - in evaluating health outcomes, public health interventions, healthcare organisation, and decision-making. They benefit from evidence based, scalable and transferable healthcare solutions (e.g., between countries and healthcare settings) including for addressing health inequalities and ensuring environmental and climate sustainability in the health sector. </w:t>
      </w:r>
    </w:p>
    <w:p w14:paraId="6FEED384" w14:textId="77777777" w:rsidR="00056AEE" w:rsidRDefault="00A00CB7">
      <w:r>
        <w:rPr>
          <w:color w:val="000000"/>
        </w:rPr>
        <w:t>The actions resulting from the calls under this destination will also create strong opportunities for synergies with actions stemming from the EU4Health programme, in particular contributing to the goals under the general objective “</w:t>
      </w:r>
      <w:r>
        <w:rPr>
          <w:i/>
          <w:color w:val="000000"/>
        </w:rPr>
        <w:t>protecting people in the Union from serious cross-border threats to health</w:t>
      </w:r>
      <w:r>
        <w:rPr>
          <w:color w:val="000000"/>
        </w:rPr>
        <w:t>” and specific objective 4 “</w:t>
      </w:r>
      <w:r>
        <w:rPr>
          <w:i/>
          <w:color w:val="000000"/>
        </w:rPr>
        <w:t>to strengthen health systems, their resilience and resource efficiency</w:t>
      </w:r>
      <w:r>
        <w:rPr>
          <w:color w:val="000000"/>
        </w:rPr>
        <w:t>”.</w:t>
      </w:r>
    </w:p>
    <w:p w14:paraId="3835596D" w14:textId="77777777" w:rsidR="00056AEE" w:rsidRDefault="00A00CB7">
      <w:r>
        <w:t>Proposals are invited against the following topic(s):</w:t>
      </w:r>
    </w:p>
    <w:p w14:paraId="71B488C8" w14:textId="77777777" w:rsidR="00056AEE" w:rsidRDefault="00A00CB7">
      <w:pPr>
        <w:pStyle w:val="HeadingThree"/>
      </w:pPr>
      <w:bookmarkStart w:id="24" w:name="_Toc171689871"/>
      <w:r>
        <w:t>HORIZON-HLTH-2025-01-CARE-01: End user-driven application of Generative Artificial Intelligence models in healthcare (GenAI4EU)</w:t>
      </w:r>
      <w:bookmarkEnd w:id="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1"/>
        <w:gridCol w:w="7111"/>
      </w:tblGrid>
      <w:tr w:rsidR="003A38F8" w14:paraId="3DC57D8C" w14:textId="77777777" w:rsidTr="003A38F8">
        <w:tc>
          <w:tcPr>
            <w:tcW w:w="0" w:type="auto"/>
            <w:gridSpan w:val="2"/>
          </w:tcPr>
          <w:p w14:paraId="35F046DC" w14:textId="77777777" w:rsidR="00056AEE" w:rsidRDefault="00A00CB7">
            <w:pPr>
              <w:pStyle w:val="CellTextValue"/>
            </w:pPr>
            <w:r>
              <w:rPr>
                <w:b/>
              </w:rPr>
              <w:t>Call: Cluster 1 - Health (Single stage - 2025)</w:t>
            </w:r>
          </w:p>
        </w:tc>
      </w:tr>
      <w:tr w:rsidR="003A38F8" w14:paraId="62F28024" w14:textId="77777777" w:rsidTr="003A38F8">
        <w:tc>
          <w:tcPr>
            <w:tcW w:w="0" w:type="auto"/>
            <w:gridSpan w:val="2"/>
          </w:tcPr>
          <w:p w14:paraId="5C6E4989" w14:textId="77777777" w:rsidR="00056AEE" w:rsidRDefault="00A00CB7">
            <w:pPr>
              <w:pStyle w:val="CellTextValue"/>
            </w:pPr>
            <w:r>
              <w:rPr>
                <w:b/>
              </w:rPr>
              <w:lastRenderedPageBreak/>
              <w:t>Specific conditions</w:t>
            </w:r>
          </w:p>
        </w:tc>
      </w:tr>
      <w:tr w:rsidR="00056AEE" w14:paraId="7681D2EF" w14:textId="77777777">
        <w:tc>
          <w:tcPr>
            <w:tcW w:w="0" w:type="auto"/>
          </w:tcPr>
          <w:p w14:paraId="0C2AC823" w14:textId="77777777" w:rsidR="00056AEE" w:rsidRDefault="00A00CB7">
            <w:pPr>
              <w:pStyle w:val="CellTextValue"/>
              <w:jc w:val="left"/>
            </w:pPr>
            <w:r>
              <w:rPr>
                <w:i/>
              </w:rPr>
              <w:t>Expected EU contribution per project</w:t>
            </w:r>
          </w:p>
        </w:tc>
        <w:tc>
          <w:tcPr>
            <w:tcW w:w="0" w:type="auto"/>
          </w:tcPr>
          <w:p w14:paraId="604C9F22" w14:textId="77777777" w:rsidR="00056AEE" w:rsidRDefault="00A00CB7">
            <w:pPr>
              <w:pStyle w:val="CellTextValue"/>
            </w:pPr>
            <w:r>
              <w:t>The Commission estimates that an EU contribution of between EUR 15.00 and 20.00 million would allow these outcomes to be addressed appropriately. Nonetheless, this does not preclude submission and selection of a proposal requesting different amounts.</w:t>
            </w:r>
          </w:p>
        </w:tc>
      </w:tr>
      <w:tr w:rsidR="00056AEE" w14:paraId="3D024E00" w14:textId="77777777">
        <w:tc>
          <w:tcPr>
            <w:tcW w:w="0" w:type="auto"/>
          </w:tcPr>
          <w:p w14:paraId="6D861721" w14:textId="77777777" w:rsidR="00056AEE" w:rsidRDefault="00A00CB7">
            <w:pPr>
              <w:pStyle w:val="CellTextValue"/>
              <w:jc w:val="left"/>
            </w:pPr>
            <w:r>
              <w:rPr>
                <w:i/>
              </w:rPr>
              <w:t>Indicative budget</w:t>
            </w:r>
          </w:p>
        </w:tc>
        <w:tc>
          <w:tcPr>
            <w:tcW w:w="0" w:type="auto"/>
          </w:tcPr>
          <w:p w14:paraId="4C323404" w14:textId="77777777" w:rsidR="00056AEE" w:rsidRDefault="00A00CB7">
            <w:pPr>
              <w:pStyle w:val="CellTextValue"/>
            </w:pPr>
            <w:r>
              <w:t>The total indicative budget for the topic is EUR 40.00 million.</w:t>
            </w:r>
          </w:p>
        </w:tc>
      </w:tr>
      <w:tr w:rsidR="00056AEE" w14:paraId="3945AEEC" w14:textId="77777777">
        <w:tc>
          <w:tcPr>
            <w:tcW w:w="0" w:type="auto"/>
          </w:tcPr>
          <w:p w14:paraId="1C7739F5" w14:textId="77777777" w:rsidR="00056AEE" w:rsidRDefault="00A00CB7">
            <w:pPr>
              <w:pStyle w:val="CellTextValue"/>
              <w:jc w:val="left"/>
            </w:pPr>
            <w:r>
              <w:rPr>
                <w:i/>
              </w:rPr>
              <w:t>Type of Action</w:t>
            </w:r>
          </w:p>
        </w:tc>
        <w:tc>
          <w:tcPr>
            <w:tcW w:w="0" w:type="auto"/>
          </w:tcPr>
          <w:p w14:paraId="24F72B52" w14:textId="77777777" w:rsidR="00056AEE" w:rsidRDefault="00A00CB7">
            <w:pPr>
              <w:pStyle w:val="CellTextValue"/>
            </w:pPr>
            <w:r>
              <w:rPr>
                <w:color w:val="000000"/>
              </w:rPr>
              <w:t>Research and Innovation Actions</w:t>
            </w:r>
          </w:p>
        </w:tc>
      </w:tr>
      <w:tr w:rsidR="00056AEE" w14:paraId="69197158" w14:textId="77777777">
        <w:tc>
          <w:tcPr>
            <w:tcW w:w="0" w:type="auto"/>
          </w:tcPr>
          <w:p w14:paraId="41546E2C" w14:textId="77777777" w:rsidR="00056AEE" w:rsidRDefault="00A00CB7">
            <w:pPr>
              <w:pStyle w:val="CellTextValue"/>
              <w:jc w:val="left"/>
            </w:pPr>
            <w:r>
              <w:rPr>
                <w:i/>
              </w:rPr>
              <w:t>Eligibility conditions</w:t>
            </w:r>
          </w:p>
        </w:tc>
        <w:tc>
          <w:tcPr>
            <w:tcW w:w="0" w:type="auto"/>
          </w:tcPr>
          <w:p w14:paraId="5F13710A" w14:textId="77777777" w:rsidR="00056AEE" w:rsidRDefault="00A00CB7">
            <w:pPr>
              <w:pStyle w:val="CellTextValue"/>
            </w:pPr>
            <w:r>
              <w:rPr>
                <w:color w:val="000000"/>
              </w:rPr>
              <w:t>The conditions are described in General Annex B. The following exceptions apply:</w:t>
            </w:r>
          </w:p>
          <w:p w14:paraId="07E46B6C"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60F9B917"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73EA3A9" w14:textId="77777777" w:rsidR="00056AEE" w:rsidRDefault="00A00CB7">
            <w:pPr>
              <w:pStyle w:val="CellTextValue"/>
            </w:pPr>
            <w:r>
              <w:rPr>
                <w:color w:val="000000"/>
              </w:rPr>
              <w:t>The Joint Research Centre (JRC) may participate as member of the consortium selected for funding.</w:t>
            </w:r>
          </w:p>
        </w:tc>
      </w:tr>
      <w:tr w:rsidR="00056AEE" w14:paraId="72D68154" w14:textId="77777777">
        <w:tc>
          <w:tcPr>
            <w:tcW w:w="0" w:type="auto"/>
          </w:tcPr>
          <w:p w14:paraId="101E2CD7" w14:textId="77777777" w:rsidR="00056AEE" w:rsidRDefault="00A00CB7">
            <w:pPr>
              <w:pStyle w:val="CellTextValue"/>
              <w:jc w:val="left"/>
            </w:pPr>
            <w:r>
              <w:rPr>
                <w:i/>
              </w:rPr>
              <w:t>Award criteria</w:t>
            </w:r>
          </w:p>
        </w:tc>
        <w:tc>
          <w:tcPr>
            <w:tcW w:w="0" w:type="auto"/>
          </w:tcPr>
          <w:p w14:paraId="70AAEED9" w14:textId="77777777" w:rsidR="00056AEE" w:rsidRDefault="00A00CB7">
            <w:pPr>
              <w:pStyle w:val="CellTextValue"/>
            </w:pPr>
            <w:r>
              <w:rPr>
                <w:color w:val="000000"/>
              </w:rPr>
              <w:t>The criteria are described in General Annex D. The following exceptions apply:</w:t>
            </w:r>
          </w:p>
          <w:p w14:paraId="6899E441" w14:textId="77777777" w:rsidR="00056AEE" w:rsidRDefault="00A00CB7">
            <w:pPr>
              <w:pStyle w:val="CellTextValue"/>
            </w:pPr>
            <w:r>
              <w:rPr>
                <w:color w:val="000000"/>
              </w:rPr>
              <w:t>The thresholds for each criterion will be 4 (Excellence), 4 (Impact) and 4 (Implementation). The cumulative threshold will be 12.</w:t>
            </w:r>
          </w:p>
        </w:tc>
      </w:tr>
    </w:tbl>
    <w:p w14:paraId="2A2C6D0D" w14:textId="77777777" w:rsidR="00056AEE" w:rsidRDefault="00056AEE">
      <w:pPr>
        <w:spacing w:after="0" w:line="150" w:lineRule="auto"/>
      </w:pPr>
    </w:p>
    <w:p w14:paraId="0560572E"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“Ensuring equal access to innovative, sustainable, and high-quality healthcare”. To that end, proposals under this topic should aim to deliver results directed towards and contributing to all the following expected outcomes:</w:t>
      </w:r>
    </w:p>
    <w:p w14:paraId="5BFD2FD0" w14:textId="77777777" w:rsidR="00056AEE" w:rsidRDefault="00A00CB7" w:rsidP="003A38F8">
      <w:pPr>
        <w:pStyle w:val="Paragraphedeliste"/>
        <w:numPr>
          <w:ilvl w:val="0"/>
          <w:numId w:val="40"/>
        </w:numPr>
      </w:pPr>
      <w:r>
        <w:rPr>
          <w:color w:val="000000"/>
        </w:rPr>
        <w:t>Healthcare professionals, at all stages of healthcare provision, have access to user-centric, robust and trustworthy virtual assistant solutions based on Generative Artificial Intelligence (AI) models and other AI tools to support them towards the provision of more efficient and personalised care.</w:t>
      </w:r>
    </w:p>
    <w:p w14:paraId="1B202FEE" w14:textId="77777777" w:rsidR="00056AEE" w:rsidRDefault="00A00CB7" w:rsidP="003A38F8">
      <w:pPr>
        <w:pStyle w:val="Paragraphedeliste"/>
        <w:numPr>
          <w:ilvl w:val="0"/>
          <w:numId w:val="40"/>
        </w:numPr>
      </w:pPr>
      <w:r>
        <w:rPr>
          <w:color w:val="000000"/>
        </w:rPr>
        <w:t xml:space="preserve">Healthcare </w:t>
      </w:r>
      <w:proofErr w:type="gramStart"/>
      <w:r>
        <w:rPr>
          <w:color w:val="000000"/>
        </w:rPr>
        <w:t>professionals</w:t>
      </w:r>
      <w:proofErr w:type="gramEnd"/>
      <w:r>
        <w:rPr>
          <w:color w:val="000000"/>
        </w:rPr>
        <w:t xml:space="preserve"> benefit from cross-country applicable methodologies with the aim to facilitate acceptability, healthcare uptake and public trust of virtual assistant tools based on Generative AI models.</w:t>
      </w:r>
    </w:p>
    <w:p w14:paraId="3CDB907B" w14:textId="77777777" w:rsidR="00056AEE" w:rsidRDefault="00A00CB7" w:rsidP="003A38F8">
      <w:pPr>
        <w:pStyle w:val="Paragraphedeliste"/>
        <w:numPr>
          <w:ilvl w:val="0"/>
          <w:numId w:val="40"/>
        </w:numPr>
      </w:pPr>
      <w:r>
        <w:rPr>
          <w:color w:val="000000"/>
        </w:rPr>
        <w:t xml:space="preserve">Patients benefit from enhanced outcomes, more personalised care, and increased engagement with their healthcare professionals, leading to improved quality of care and </w:t>
      </w:r>
      <w:r>
        <w:rPr>
          <w:color w:val="000000"/>
        </w:rPr>
        <w:lastRenderedPageBreak/>
        <w:t>patient-doctor communication, including lower barriers to appropriate healthcare information.</w:t>
      </w:r>
    </w:p>
    <w:p w14:paraId="4E42A26A" w14:textId="77777777" w:rsidR="00056AEE" w:rsidRDefault="00A00CB7" w:rsidP="003A38F8">
      <w:pPr>
        <w:pStyle w:val="Paragraphedeliste"/>
        <w:numPr>
          <w:ilvl w:val="0"/>
          <w:numId w:val="40"/>
        </w:numPr>
      </w:pPr>
      <w:r>
        <w:rPr>
          <w:color w:val="000000"/>
        </w:rPr>
        <w:t xml:space="preserve">Healthcare systems benefit from improved and cost-effective patient outcomes, superior to the current standard of care in terms of accuracy and quality, as well as from cost-savings through advancements in highly accurate, transparent, traceable, and explainable Generative AI-based solutions. </w:t>
      </w:r>
    </w:p>
    <w:p w14:paraId="6D5D8D47" w14:textId="77777777" w:rsidR="00056AEE" w:rsidRDefault="00A00CB7">
      <w:r>
        <w:rPr>
          <w:u w:val="single"/>
        </w:rPr>
        <w:t>Scope</w:t>
      </w:r>
      <w:r>
        <w:t xml:space="preserve">: </w:t>
      </w:r>
      <w:r>
        <w:rPr>
          <w:color w:val="000000"/>
        </w:rPr>
        <w:t>Healthcare professionals face important challenges related to efficiency and provision of quality care with limited health systems’ resources. Multimodality of health data resources combined with the available high-performance computing capacities have the potential to empower effective and accurate use of trustworthy Generative AI-based solutions, augmented by other AI tools to address these challenges, including through better clinical outcomes and enhanced support for healthcare professionals. Generative AI can contribute to transforming clinical care with important benefits for patients, healthcare professionals and health systems, including cost savings.</w:t>
      </w:r>
    </w:p>
    <w:p w14:paraId="3901D5A7" w14:textId="77777777" w:rsidR="00056AEE" w:rsidRDefault="00A00CB7">
      <w:r>
        <w:rPr>
          <w:color w:val="000000"/>
        </w:rPr>
        <w:t>This topic will contribute to advancing and generating research to better understand and improve Generative AI-based virtual assistant solutions and their applicability in healthcare settings with the aim of improving patient health outcomes, fostering personalised healthcare and support the resilience, sustainability and efficiency of the healthcare systems. In addition, the topic aims to also cover the understanding and mitigation of possible shortcomings (biases) and frameworks for monitoring and overseeing the Generative AI-based solutions’ use.</w:t>
      </w:r>
    </w:p>
    <w:p w14:paraId="166E410F" w14:textId="77777777" w:rsidR="00056AEE" w:rsidRDefault="00A00CB7">
      <w:r>
        <w:rPr>
          <w:color w:val="000000"/>
        </w:rPr>
        <w:t>Research actions under this topic should include all the following activities:</w:t>
      </w:r>
    </w:p>
    <w:p w14:paraId="1EC2AAAD" w14:textId="77777777" w:rsidR="00056AEE" w:rsidRDefault="00A00CB7" w:rsidP="003A38F8">
      <w:pPr>
        <w:pStyle w:val="Paragraphedeliste"/>
        <w:numPr>
          <w:ilvl w:val="0"/>
          <w:numId w:val="41"/>
        </w:numPr>
      </w:pPr>
      <w:r>
        <w:rPr>
          <w:color w:val="000000"/>
        </w:rPr>
        <w:t>Develop virtual assistant solutions based on new or optimised trustworthy and ethical Generative AI models, augmented by other AI tools to support healthcare professionals in leveraging extensive multi-modal health data, existing public knowledge, and healthcare systems information from reliable sources. The models should be based on large, diverse, and complex multimodal health data directly relevant for the healthcare setting(s), such as but not limited to electronic health records, medical imagining, genomics, proteomics, molecular and physiological data, laboratory results, patient information (including safety related information), medical history, existing public knowledge and/or unstructured health data (the applicants may choose any type and/or combinations of available large scale health data). The development and training of the Generative AI models should take place in multinational consortia and federated governance approaches for developing and training the Generative AI-based solutions should be considered. The applicants should demonstrate how the project goes beyond combining existing data and, rather, generates new patients-specific knowledge that can be translated into improved clinical decision making.</w:t>
      </w:r>
    </w:p>
    <w:p w14:paraId="2D1A7A9A" w14:textId="77777777" w:rsidR="00056AEE" w:rsidRDefault="00A00CB7" w:rsidP="003A38F8">
      <w:pPr>
        <w:pStyle w:val="Paragraphedeliste"/>
        <w:numPr>
          <w:ilvl w:val="0"/>
          <w:numId w:val="41"/>
        </w:numPr>
      </w:pPr>
      <w:r>
        <w:rPr>
          <w:color w:val="000000"/>
        </w:rPr>
        <w:t xml:space="preserve">Demonstrate the added-value and clinical utility of the developed virtual assistant solutions in at least two relevant healthcare use case(s) in different medical fields. The proposals are encouraged to also cover unmet medical needs. The use cases should </w:t>
      </w:r>
      <w:r>
        <w:rPr>
          <w:color w:val="000000"/>
        </w:rPr>
        <w:lastRenderedPageBreak/>
        <w:t>demonstrate e.g. improved care management, ability of the assistant to predict potential patient-specific therapeutic strategies and different potential outcomes etc. The applicants should provide evidence of high maturity technology for the proposed use cases and assess the relative effectiveness of the solutions in comparison to the current standard of care. The applicants should convincingly argue and provide evidence why the Generative AI-based solutions under study would be superior to other AI tools and would deliver better outcomes as compared to the existing standard-of-care. They should actively engage healthcare professionals as end users, and other essential stakeholders such as patients, caregivers in the co-design, during the development and testing of the Generative AI virtual assistant solutions, ensuring diverse perspectives and intersectional considerations are integrated throughout the process. Training and education activities for healthcare professionals as end users should be organised.</w:t>
      </w:r>
    </w:p>
    <w:p w14:paraId="6BDE31EC" w14:textId="77777777" w:rsidR="00056AEE" w:rsidRDefault="00A00CB7" w:rsidP="003A38F8">
      <w:pPr>
        <w:pStyle w:val="Paragraphedeliste"/>
        <w:numPr>
          <w:ilvl w:val="0"/>
          <w:numId w:val="41"/>
        </w:numPr>
      </w:pPr>
      <w:r>
        <w:rPr>
          <w:color w:val="000000"/>
        </w:rPr>
        <w:t>Develop a regulatory strategy and interaction plan with regulators and Health Technology Assessment bodies, for generating appropriate evidence, where relevant, in a timely manner. Consider also the potential for future regulatory impact of the results.</w:t>
      </w:r>
    </w:p>
    <w:p w14:paraId="462E0B9E" w14:textId="77777777" w:rsidR="00056AEE" w:rsidRDefault="00A00CB7" w:rsidP="003A38F8">
      <w:pPr>
        <w:pStyle w:val="Paragraphedeliste"/>
        <w:numPr>
          <w:ilvl w:val="0"/>
          <w:numId w:val="41"/>
        </w:numPr>
      </w:pPr>
      <w:r>
        <w:rPr>
          <w:color w:val="000000"/>
        </w:rPr>
        <w:t xml:space="preserve">Develop or adapt existing methodologies for continuous assessment of the technical robustness and clinical utility of Generative AI-based virtual assistant solutions, including novel methods to address the sparsity of data by simplifying and structuring it. The methodologies developed under this action should demonstrate technical robustness, healthcare utility and trustworthiness of the developed Generative AI-based solutions, </w:t>
      </w:r>
      <w:proofErr w:type="gramStart"/>
      <w:r>
        <w:rPr>
          <w:color w:val="000000"/>
        </w:rPr>
        <w:t>in particular by</w:t>
      </w:r>
      <w:proofErr w:type="gramEnd"/>
      <w:r>
        <w:rPr>
          <w:color w:val="000000"/>
        </w:rPr>
        <w:t xml:space="preserve"> adopting:        </w:t>
      </w:r>
    </w:p>
    <w:p w14:paraId="6F8080FD" w14:textId="77777777" w:rsidR="00056AEE" w:rsidRDefault="00A00CB7" w:rsidP="003A38F8">
      <w:pPr>
        <w:pStyle w:val="Paragraphedeliste"/>
        <w:numPr>
          <w:ilvl w:val="1"/>
          <w:numId w:val="41"/>
        </w:numPr>
      </w:pPr>
      <w:r>
        <w:rPr>
          <w:color w:val="000000"/>
        </w:rPr>
        <w:t>Appropriate performance metrics for evaluating and testing the technical robustness and clinical utility, as well as model intelligibility and alignment with ethical principles in view of ensuring AI trustworthiness</w:t>
      </w:r>
      <w:r>
        <w:rPr>
          <w:vertAlign w:val="superscript"/>
        </w:rPr>
        <w:footnoteReference w:id="126"/>
      </w:r>
      <w:r>
        <w:rPr>
          <w:color w:val="000000"/>
        </w:rPr>
        <w:t xml:space="preserve">.   </w:t>
      </w:r>
    </w:p>
    <w:p w14:paraId="2FE16CE3" w14:textId="77777777" w:rsidR="00056AEE" w:rsidRDefault="00A00CB7" w:rsidP="003A38F8">
      <w:pPr>
        <w:pStyle w:val="Paragraphedeliste"/>
        <w:numPr>
          <w:ilvl w:val="1"/>
          <w:numId w:val="41"/>
        </w:numPr>
      </w:pPr>
      <w:r>
        <w:rPr>
          <w:color w:val="000000"/>
        </w:rPr>
        <w:t>Appropriate solutions to identify and mitigate potential bias and confounding</w:t>
      </w:r>
      <w:r>
        <w:rPr>
          <w:vertAlign w:val="superscript"/>
        </w:rPr>
        <w:footnoteReference w:id="127"/>
      </w:r>
      <w:r>
        <w:rPr>
          <w:color w:val="000000"/>
        </w:rPr>
        <w:t xml:space="preserve"> of the Generative AI models including examples from different perspectives (e.g., representativeness of the data, bias of the trainer, bias of training and validation data, algorithmic bias, gender bias etc.).   </w:t>
      </w:r>
    </w:p>
    <w:p w14:paraId="761B076B" w14:textId="77777777" w:rsidR="00056AEE" w:rsidRDefault="00A00CB7" w:rsidP="003A38F8">
      <w:pPr>
        <w:pStyle w:val="Paragraphedeliste"/>
        <w:numPr>
          <w:ilvl w:val="1"/>
          <w:numId w:val="41"/>
        </w:numPr>
      </w:pPr>
      <w:r>
        <w:rPr>
          <w:color w:val="000000"/>
        </w:rPr>
        <w:t xml:space="preserve">ELSI (Ethical, legal and societal implications) - methods to systematically address and assess ELSI aspects, including data privacy concerns and risk of discrimination bias and/or discrimination (sex/gender, age, disability, ethnicity, minority and/or vulnerable groups, including disadvantaged groups). Concerning legal aspects, explore the implication of medical errors that originate from AI-assisted decision-making and the resulting effects on potential legal liability for healthcare professionals.   </w:t>
      </w:r>
    </w:p>
    <w:p w14:paraId="05F8949A" w14:textId="77777777" w:rsidR="00056AEE" w:rsidRDefault="00A00CB7" w:rsidP="003A38F8">
      <w:pPr>
        <w:pStyle w:val="Paragraphedeliste"/>
        <w:numPr>
          <w:ilvl w:val="1"/>
          <w:numId w:val="41"/>
        </w:numPr>
      </w:pPr>
      <w:r>
        <w:rPr>
          <w:color w:val="000000"/>
        </w:rPr>
        <w:lastRenderedPageBreak/>
        <w:t xml:space="preserve">Appropriate techniques to discover cause-and-effect relationships and explainability of the model reasoning </w:t>
      </w:r>
      <w:proofErr w:type="gramStart"/>
      <w:r>
        <w:rPr>
          <w:color w:val="000000"/>
        </w:rPr>
        <w:t>in order to</w:t>
      </w:r>
      <w:proofErr w:type="gramEnd"/>
      <w:r>
        <w:rPr>
          <w:color w:val="000000"/>
        </w:rPr>
        <w:t xml:space="preserve"> increase users’ trust. With causal understanding mechanisms it is possible to predict what’s happening inside the AI model, addressing the black box element, increasing transparency and model explainability.  </w:t>
      </w:r>
    </w:p>
    <w:p w14:paraId="2C698DD2" w14:textId="77777777" w:rsidR="00056AEE" w:rsidRDefault="00A00CB7">
      <w:r>
        <w:rPr>
          <w:color w:val="000000"/>
        </w:rPr>
        <w:t>All proposals should demonstrate EU added value by focusing on the development and/or use of trustworthy Generative AI models developed in the EU and Associated countries, involving in the consortium EU industrial developers of Generative AI solutions, including leading-edge startups when possible. An open-source approach Generative AI is encouraged when technically and economically feasible.</w:t>
      </w:r>
    </w:p>
    <w:p w14:paraId="68727BC4" w14:textId="77777777" w:rsidR="00056AEE" w:rsidRDefault="00A00CB7">
      <w:r>
        <w:rPr>
          <w:color w:val="000000"/>
        </w:rPr>
        <w:t>The proposals should adhere to the FAIR</w:t>
      </w:r>
      <w:r>
        <w:rPr>
          <w:vertAlign w:val="superscript"/>
        </w:rPr>
        <w:footnoteReference w:id="128"/>
      </w:r>
      <w:r>
        <w:rPr>
          <w:color w:val="000000"/>
        </w:rPr>
        <w:t xml:space="preserve"> data principles and GDPR</w:t>
      </w:r>
      <w:r>
        <w:rPr>
          <w:vertAlign w:val="superscript"/>
        </w:rPr>
        <w:footnoteReference w:id="129"/>
      </w:r>
      <w:r>
        <w:rPr>
          <w:color w:val="000000"/>
        </w:rPr>
        <w:t xml:space="preserve"> compliant processes for personal data protection based on good practices developed by the European research infrastructures. The proposals should promote the highest standards of transparency and openness of models, as much as possible going well beyond documentation and extending to aspects such as assumptions, code and data that is managed in compliance with the FAIR principles.</w:t>
      </w:r>
    </w:p>
    <w:p w14:paraId="0B02FD2D" w14:textId="77777777" w:rsidR="00056AEE" w:rsidRDefault="00A00CB7">
      <w:r>
        <w:rPr>
          <w:color w:val="000000"/>
        </w:rPr>
        <w:t>When the healthcare use cases are relevant to diseases covered by Horizon Europe Partnerships or missions (e.g., European Partnership on Rare Diseases, the Cancer Mission, etc.), the proposals should leverage and adopt the federated data-management and data access recommendations already developed, such as the Virtual Platform of the European Joint Programme on Rare Diseases</w:t>
      </w:r>
      <w:r>
        <w:rPr>
          <w:vertAlign w:val="superscript"/>
        </w:rPr>
        <w:footnoteReference w:id="130"/>
      </w:r>
      <w:r>
        <w:rPr>
          <w:color w:val="000000"/>
        </w:rPr>
        <w:t xml:space="preserve"> etc. Moreover, the applicants are encouraged to leverage available and emerging data infrastructures (e.g., European Health Data Space</w:t>
      </w:r>
      <w:r>
        <w:rPr>
          <w:vertAlign w:val="superscript"/>
        </w:rPr>
        <w:footnoteReference w:id="131"/>
      </w:r>
      <w:r>
        <w:rPr>
          <w:color w:val="000000"/>
        </w:rPr>
        <w:t>, European Genomic Data Infrastructure</w:t>
      </w:r>
      <w:r>
        <w:rPr>
          <w:vertAlign w:val="superscript"/>
        </w:rPr>
        <w:footnoteReference w:id="132"/>
      </w:r>
      <w:r>
        <w:rPr>
          <w:color w:val="000000"/>
        </w:rPr>
        <w:t>, Cancer Image Europe</w:t>
      </w:r>
      <w:r>
        <w:rPr>
          <w:vertAlign w:val="superscript"/>
        </w:rPr>
        <w:footnoteReference w:id="133"/>
      </w:r>
      <w:r>
        <w:rPr>
          <w:color w:val="000000"/>
        </w:rPr>
        <w:t>, European Open Science Cloud</w:t>
      </w:r>
      <w:r>
        <w:rPr>
          <w:vertAlign w:val="superscript"/>
        </w:rPr>
        <w:footnoteReference w:id="134"/>
      </w:r>
      <w:r>
        <w:rPr>
          <w:color w:val="000000"/>
        </w:rPr>
        <w:t>, EBRAINS</w:t>
      </w:r>
      <w:r>
        <w:rPr>
          <w:vertAlign w:val="superscript"/>
        </w:rPr>
        <w:footnoteReference w:id="135"/>
      </w:r>
      <w:r>
        <w:rPr>
          <w:color w:val="000000"/>
        </w:rPr>
        <w:t xml:space="preserve"> etc.), whenever relevant. Adopting European Open Science Cloud recommendations and services for high-quality software is also encouraged. The creation, expansion of health data and/or AI infrastructures or large-data curation efforts, existing or under development, is not in the scope of this topic.</w:t>
      </w:r>
    </w:p>
    <w:p w14:paraId="0CB75B34" w14:textId="77777777" w:rsidR="00056AEE" w:rsidRDefault="00A00CB7">
      <w:r>
        <w:rPr>
          <w:color w:val="000000"/>
        </w:rPr>
        <w:t>When possible, the developed models should be trained with multimodal data in different EU languages, to ensure accessibility and inclusivity.</w:t>
      </w:r>
    </w:p>
    <w:p w14:paraId="713281AD" w14:textId="77777777" w:rsidR="00056AEE" w:rsidRDefault="00A00CB7">
      <w:r>
        <w:rPr>
          <w:color w:val="000000"/>
        </w:rPr>
        <w:t>Successful proposals that aim to develop new Generative AI models or to repurpose existing ones are encouraged to utilise the resources offered by the AI factories</w:t>
      </w:r>
      <w:r>
        <w:rPr>
          <w:vertAlign w:val="superscript"/>
        </w:rPr>
        <w:footnoteReference w:id="136"/>
      </w:r>
      <w:r>
        <w:rPr>
          <w:color w:val="000000"/>
        </w:rPr>
        <w:t>, when relevant and in accordance with the specific access terms and conditions.</w:t>
      </w:r>
    </w:p>
    <w:p w14:paraId="39A5B4FF" w14:textId="77777777" w:rsidR="00056AEE" w:rsidRDefault="00A00CB7">
      <w:r>
        <w:rPr>
          <w:color w:val="000000"/>
        </w:rPr>
        <w:lastRenderedPageBreak/>
        <w:t xml:space="preserve">This topic requires the effective contribution of social sciences and humanities (SSH) disciplines and the involvement of SSH experts and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 The active engagement of healthcare professionals as end users, patients, and their caregivers is central to achieving targeted outcomes in the development and testing of the Generative AI virtual assistant solutions.</w:t>
      </w:r>
    </w:p>
    <w:p w14:paraId="251D6AE3" w14:textId="77777777" w:rsidR="00056AEE" w:rsidRDefault="00A00CB7">
      <w:r>
        <w:rPr>
          <w:color w:val="000000"/>
        </w:rPr>
        <w:t>Proposals are encouraged to exploit potential synergies with the projects funded under the topic HORIZON-CL4-2021-HUMAN-01-24: “Tackling gender, race and other biases in AI”.</w:t>
      </w:r>
    </w:p>
    <w:p w14:paraId="749A4E8B" w14:textId="77777777" w:rsidR="00056AEE" w:rsidRDefault="00A00CB7">
      <w:r>
        <w:rPr>
          <w:color w:val="000000"/>
        </w:rPr>
        <w:t>Proposals should consider the involvement of the European Commission's Joint Research Centre (JRC) based on its experience and with respect to the value it could bring in providing an effective interface between research activities and preliminary regulatory science as well as strategies and frameworks that address fit for regulatory requirements. In that respect, the JRC will consider collaborating with any successful proposal and this collaboration, when relevant, should be established after the proposal’s approval.</w:t>
      </w:r>
    </w:p>
    <w:p w14:paraId="5EC420A8" w14:textId="77777777" w:rsidR="00056AEE" w:rsidRDefault="00A00CB7">
      <w:r>
        <w:rPr>
          <w:color w:val="000000"/>
        </w:rPr>
        <w:t>All proposals selected for funding under this topic are strongly encouraged to collaborate, for example by participating in networking and joint activities, exchanging of knowledge, developing and adopting best practices, as appropriate. Therefore, proposals are expected to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p w14:paraId="2525B81B"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3314ACF1" w14:textId="77777777" w:rsidR="00056AEE" w:rsidRPr="006372DB" w:rsidRDefault="00A00CB7">
      <w:pPr>
        <w:pStyle w:val="HeadingTwo"/>
        <w:rPr>
          <w:lang w:val="en-US"/>
        </w:rPr>
      </w:pPr>
      <w:bookmarkStart w:id="25" w:name="_Toc171689872"/>
      <w:r w:rsidRPr="006372DB">
        <w:rPr>
          <w:lang w:val="en-US"/>
        </w:rPr>
        <w:t>Destination - Developing and using new tools, technologies and digital solutions for a healthy society</w:t>
      </w:r>
      <w:bookmarkEnd w:id="25"/>
    </w:p>
    <w:p w14:paraId="3B3B57D1" w14:textId="77777777" w:rsidR="00056AEE" w:rsidRDefault="00A00CB7">
      <w:r>
        <w:rPr>
          <w:color w:val="000000"/>
        </w:rPr>
        <w:t>Calls for proposals under this destination are directed towards the Key Strategic Orientation 2 “</w:t>
      </w:r>
      <w:r>
        <w:rPr>
          <w:i/>
          <w:color w:val="000000"/>
        </w:rPr>
        <w:t>The Digital Transition</w:t>
      </w:r>
      <w:r>
        <w:rPr>
          <w:color w:val="000000"/>
        </w:rPr>
        <w:t>” and Key Strategic Orientation 3 “</w:t>
      </w:r>
      <w:r>
        <w:rPr>
          <w:i/>
          <w:color w:val="000000"/>
        </w:rPr>
        <w:t>A More Resilient, Competitive, Inclusive, and Democratic Europe</w:t>
      </w:r>
      <w:r>
        <w:rPr>
          <w:color w:val="000000"/>
        </w:rPr>
        <w:t>” of Horizon Europe’s Strategic Plan 2025-2027.</w:t>
      </w:r>
    </w:p>
    <w:p w14:paraId="6EA4C497" w14:textId="77777777" w:rsidR="00056AEE" w:rsidRDefault="00A00CB7">
      <w:r>
        <w:rPr>
          <w:color w:val="000000"/>
        </w:rPr>
        <w:t>Research and Innovation supported under this destination should contribute to the following expected impact, set out in the Strategic Plan for the Health Cluster: “</w:t>
      </w:r>
      <w:r>
        <w:rPr>
          <w:i/>
          <w:color w:val="000000"/>
        </w:rPr>
        <w:t>Health technologies, data, new tools, and digital solutions are applied effectively thanks to their inclusive, ethically sound, secure and sustainable delivery, integration and deployment in health policies and in health and care systems.</w:t>
      </w:r>
      <w:r>
        <w:rPr>
          <w:color w:val="000000"/>
        </w:rPr>
        <w:t>”</w:t>
      </w:r>
    </w:p>
    <w:p w14:paraId="4216C2A0" w14:textId="77777777" w:rsidR="00056AEE" w:rsidRDefault="00A00CB7">
      <w:r>
        <w:rPr>
          <w:color w:val="000000"/>
        </w:rPr>
        <w:t xml:space="preserve">The Health Cluster will continue work to develop and stimulate the uptake of new technologies and digital solutions to improve healthcare and health systems. This includes using technology to help people better understand and use health information, promote healthier lifestyles, improve pandemic/epidemic preparedness, prevent diseases, provide better diagnoses and more personalised treatments and care solutions, and improve access to </w:t>
      </w:r>
      <w:r>
        <w:rPr>
          <w:color w:val="000000"/>
        </w:rPr>
        <w:lastRenderedPageBreak/>
        <w:t>health and care systems while making sure that even groups with limited access to good healthcare can benefit. The Cluster will help the EU ensure leadership in breakthrough health and medical technologies and achieve open strategic autonomy in essential medical supplies and digital innovations. By collecting and analysing health data across borders and creating human-centred health technologies, including the use of Artificial Intelligence (AI), research can improve and personalise medical care for different patients, increasing patient safety and leading to better health outcomes and wellbeing.</w:t>
      </w:r>
    </w:p>
    <w:p w14:paraId="7E355202" w14:textId="77777777" w:rsidR="00056AEE" w:rsidRDefault="00A00CB7">
      <w:r>
        <w:rPr>
          <w:color w:val="000000"/>
        </w:rPr>
        <w:t>Support for Research and Innovation is needed on the large spectrum of tools and technologies for biomedical research, prevention, diagnosis, therapy and health monitoring. This includes enabling technologies not least innovative biotechnological approaches. The emergence of the European Health Data Space will create an additional boost to cross-border, data-driven approaches and innovation, e.g. for personalised medicine or patient safety. High-quality health data (incl. real world data) combined with digital technologies, modelling and AI tools, have a high potential for advancing biomedical Research and Innovation. Emerging and disruptive technologies using tools like new genomic techniques and AI tools, offer big opportunities for transforming healthcare, but also depend on the capacity to collect, integrate and interpret large amounts of data and on their compatibility with appropriate regulatory frameworks. Such technologies can provide better and more cost-efficient solutions with high societal impact, tailored to the specific healthcare needs of the individual. However, novel tools, technologies and digital approaches face specific barriers and hurdles in piloting, implementing and scaling-up before reaching the patient, encountering additional challenges such as public acceptance and trust. The development and uptake of new technologies for high-quality healthcare will need to draw on multiple disciplines and require cross-sectoral cooperation among all those concerned, including end-users (patients, healthcare providers and workforce, researchers, regulatory bodies, policymakers, and funders). These interactions will help address unmet needs via integrated tools, hybrid health technologies and digital solutions (including those with limited commercial interest). It will also support the design and development of health products and services tailored to the needs of specific population groups, thereby improving patient outcomes and reducing health inequalities.</w:t>
      </w:r>
    </w:p>
    <w:p w14:paraId="5E98076B" w14:textId="77777777" w:rsidR="00056AEE" w:rsidRDefault="00A00CB7">
      <w:r>
        <w:rPr>
          <w:color w:val="000000"/>
        </w:rPr>
        <w:t>This destination aims to promote the development of novel tools, technologies and digital solutions for prevention, diagnosis and therapy with the goal to improve health outcomes, while taking into consideration the rights of the individual, safety, effectiveness, appropriateness, accessibility, comparative value-added and fiscal sustainability as well as issues of ethical, legal and regulatory nature.</w:t>
      </w:r>
    </w:p>
    <w:p w14:paraId="096174E8" w14:textId="77777777" w:rsidR="00056AEE" w:rsidRDefault="00A00CB7">
      <w:r>
        <w:rPr>
          <w:color w:val="000000"/>
        </w:rPr>
        <w:t>In this work programme, Destination “</w:t>
      </w:r>
      <w:r>
        <w:rPr>
          <w:i/>
          <w:color w:val="000000"/>
        </w:rPr>
        <w:t>Developing and using new tools, technologies and digital solutions for a healthy society</w:t>
      </w:r>
      <w:r>
        <w:rPr>
          <w:color w:val="000000"/>
        </w:rPr>
        <w:t>” is driven by two key Commission policies, the “Biotechnology and Biomanufacturing Strategy</w:t>
      </w:r>
      <w:r>
        <w:rPr>
          <w:vertAlign w:val="superscript"/>
        </w:rPr>
        <w:footnoteReference w:id="137"/>
      </w:r>
      <w:r>
        <w:rPr>
          <w:color w:val="000000"/>
        </w:rPr>
        <w:t xml:space="preserve">” and the “Artificial Intelligence </w:t>
      </w:r>
      <w:r>
        <w:rPr>
          <w:color w:val="000000"/>
        </w:rPr>
        <w:lastRenderedPageBreak/>
        <w:t>Strategy</w:t>
      </w:r>
      <w:r>
        <w:rPr>
          <w:vertAlign w:val="superscript"/>
        </w:rPr>
        <w:footnoteReference w:id="138"/>
      </w:r>
      <w:r>
        <w:rPr>
          <w:color w:val="000000"/>
        </w:rPr>
        <w:t>” and will focus on the development and use of innovative biotechnological tools for the improvement of the therapeutic arsenal of healthcare against diseases where there are currently no or only insufficient therapeutic strategies, on the development of Generative Artificial Intelligence models to help researchers in their activities to deliver new knowledge for advancing biomedical research and on the technology transfer of biotechnology-derived therapeutics from discovery to approved products. In particular, the topics under this destination will support activities aiming at: cellular and cell-free therapeutic approaches employing either genetic modifications or more classical techniques for improving the safety and therapeutic performance of these therapies, including their testing in clinical studies; development of generative AI models based on large-scale multi-modal health data for better understanding of diseases and their management thanks to the enhancement of biomedical discoveries and more personalised treatment solutions; bridging the gap between pre-clinical and clinical development stages of therapeutics developed through biotechnological methods and giving special emphasis on small and medium-size enterprises (SMEs). The actions to be supported will be based on interdisciplinary Research and Innovation activities involving a broad spectrum of actors from different sectors, who will strive for the convergence of health technologies, combining medical technologies, pharmaceuticals, Advanced Therapy Medicinal Products (ATMPs) and digital health technologies, that will lead to integrated health solutions for the benefit of healthcare providers and patients.</w:t>
      </w:r>
    </w:p>
    <w:p w14:paraId="7ACEA45F" w14:textId="77777777" w:rsidR="00056AEE" w:rsidRDefault="00A00CB7">
      <w:r>
        <w:rPr>
          <w:color w:val="000000"/>
        </w:rPr>
        <w:t>In view of increasing the impact of EU investments under Horizon Europe, the European Commission welcomes and supports cooperation between EU-funded projects to enable cross-fertilisation and other synergies. This could range from networking to joint activities such as the participation in joint workshops, the exchange of knowledge, the development and adoption of best practices, or joint communication activities. Opportunities for potential synergies exist between projects funded under the same topic but also between other projects funded under another topic, Cluster or pillar of Horizon Europe (but also with ongoing projects funded under Horizon 2020). In particular, this could involve projects related to European health research infrastructures (under pillar I of Horizon Europe), the EIC strategic challenges on health, the European Innovation Ecosystems (EIE) interregional networks on health and EIT-KIC Health (under pillar III of Horizon Europe) or in areas cutting across the health and other Clusters (under pillar II of Horizon Europe), like, for instance, with Cluster 4 “Digital, Industry and Space” on digitalisation of the health sector or key enabling technologies.</w:t>
      </w:r>
    </w:p>
    <w:p w14:paraId="6484C446" w14:textId="77777777" w:rsidR="00056AEE" w:rsidRDefault="00A00CB7">
      <w:r>
        <w:rPr>
          <w:color w:val="000000"/>
          <w:u w:val="single"/>
        </w:rPr>
        <w:t>Expected Impacts</w:t>
      </w:r>
      <w:r>
        <w:rPr>
          <w:color w:val="000000"/>
        </w:rPr>
        <w:t>:</w:t>
      </w:r>
    </w:p>
    <w:p w14:paraId="546AA3B2" w14:textId="77777777" w:rsidR="00056AEE" w:rsidRDefault="00A00CB7">
      <w:r>
        <w:rPr>
          <w:color w:val="000000"/>
        </w:rPr>
        <w:t>Proposals for topics under this destination should set out a credible pathway towards the development and use of new tools, technologies and digital solutions for a healthy society, and more specifically to one or several of the following impacts:</w:t>
      </w:r>
    </w:p>
    <w:p w14:paraId="1A16BD95" w14:textId="77777777" w:rsidR="00056AEE" w:rsidRDefault="00A00CB7" w:rsidP="003A38F8">
      <w:pPr>
        <w:pStyle w:val="Paragraphedeliste"/>
        <w:numPr>
          <w:ilvl w:val="0"/>
          <w:numId w:val="42"/>
        </w:numPr>
      </w:pPr>
      <w:r>
        <w:rPr>
          <w:color w:val="000000"/>
        </w:rPr>
        <w:lastRenderedPageBreak/>
        <w:t>Europe’s scientific and technological expertise and know-how, its capabilities for innovation in new tools, technologies and digital solutions, and its ability to take-up, scale-up and integrate innovation in healthcare is world-class.</w:t>
      </w:r>
    </w:p>
    <w:p w14:paraId="7573AF67" w14:textId="77777777" w:rsidR="00056AEE" w:rsidRDefault="00A00CB7" w:rsidP="003A38F8">
      <w:pPr>
        <w:pStyle w:val="Paragraphedeliste"/>
        <w:numPr>
          <w:ilvl w:val="0"/>
          <w:numId w:val="42"/>
        </w:numPr>
      </w:pPr>
      <w:r>
        <w:rPr>
          <w:color w:val="000000"/>
        </w:rPr>
        <w:t xml:space="preserve">Citizens benefit from targeted and faster research resulting in safer, more sustainable, efficient, cost-effective and affordable tools, technologies and digital solutions for improved (personalised) disease prevention, diagnosis, treatment and monitoring for better patient outcome and wellbeing, </w:t>
      </w:r>
      <w:proofErr w:type="gramStart"/>
      <w:r>
        <w:rPr>
          <w:color w:val="000000"/>
        </w:rPr>
        <w:t>in particular through</w:t>
      </w:r>
      <w:proofErr w:type="gramEnd"/>
      <w:r>
        <w:rPr>
          <w:color w:val="000000"/>
        </w:rPr>
        <w:t xml:space="preserve"> increasingly shared health resources (interoperable data, infrastructure, expertise, citizen/patient driven co-creation)</w:t>
      </w:r>
      <w:r>
        <w:rPr>
          <w:vertAlign w:val="superscript"/>
        </w:rPr>
        <w:footnoteReference w:id="139"/>
      </w:r>
      <w:r>
        <w:rPr>
          <w:color w:val="000000"/>
        </w:rPr>
        <w:t>.</w:t>
      </w:r>
    </w:p>
    <w:p w14:paraId="721CFE0C" w14:textId="77777777" w:rsidR="00056AEE" w:rsidRDefault="00A00CB7" w:rsidP="003A38F8">
      <w:pPr>
        <w:pStyle w:val="Paragraphedeliste"/>
        <w:numPr>
          <w:ilvl w:val="0"/>
          <w:numId w:val="42"/>
        </w:numPr>
      </w:pPr>
      <w:r>
        <w:rPr>
          <w:color w:val="000000"/>
        </w:rPr>
        <w:t>The EU gains high visibility and leadership in terms of health technology development, including through international cooperation.</w:t>
      </w:r>
    </w:p>
    <w:p w14:paraId="5D4B0779" w14:textId="77777777" w:rsidR="00056AEE" w:rsidRDefault="00A00CB7" w:rsidP="003A38F8">
      <w:pPr>
        <w:pStyle w:val="Paragraphedeliste"/>
        <w:numPr>
          <w:ilvl w:val="0"/>
          <w:numId w:val="42"/>
        </w:numPr>
      </w:pPr>
      <w:r>
        <w:rPr>
          <w:color w:val="000000"/>
        </w:rPr>
        <w:t>The burden of diseases in the EU and worldwide is reduced through the development and integration of innovative diagnostic and therapeutic approaches, personalised medicine approaches, digital and other people-centred solutions for healthcare.</w:t>
      </w:r>
    </w:p>
    <w:p w14:paraId="226A8334" w14:textId="77777777" w:rsidR="00056AEE" w:rsidRDefault="00A00CB7" w:rsidP="003A38F8">
      <w:pPr>
        <w:pStyle w:val="Paragraphedeliste"/>
        <w:numPr>
          <w:ilvl w:val="0"/>
          <w:numId w:val="42"/>
        </w:numPr>
      </w:pPr>
      <w:r>
        <w:rPr>
          <w:color w:val="000000"/>
        </w:rPr>
        <w:t>Both the productivity of health Research and Innovation, and the quality and outcome of healthcare is improved thanks to the use of health data and innovative analytical tools, such as artificial intelligence (AI) supported decision-making, in a secure and ethical manner, respecting individual integrity and underpinned with public acceptance and trust.</w:t>
      </w:r>
    </w:p>
    <w:p w14:paraId="6B3817FD" w14:textId="77777777" w:rsidR="00056AEE" w:rsidRDefault="00A00CB7" w:rsidP="003A38F8">
      <w:pPr>
        <w:pStyle w:val="Paragraphedeliste"/>
        <w:numPr>
          <w:ilvl w:val="0"/>
          <w:numId w:val="42"/>
        </w:numPr>
      </w:pPr>
      <w:r>
        <w:rPr>
          <w:color w:val="000000"/>
        </w:rPr>
        <w:t xml:space="preserve">Citizens trust and support the opportunities offered by innovative technologies for healthcare, based on expected health outcomes and potential risks involved. </w:t>
      </w:r>
    </w:p>
    <w:p w14:paraId="61FD244B" w14:textId="77777777" w:rsidR="00056AEE" w:rsidRDefault="00A00CB7">
      <w:r>
        <w:rPr>
          <w:color w:val="000000"/>
        </w:rPr>
        <w:t>Legal entities established in China are not eligible to participate in Innovation Actions in any capacity. Please refer to the Annex B of the General Annexes of this Work Programme for further details.</w:t>
      </w:r>
    </w:p>
    <w:p w14:paraId="476633ED" w14:textId="77777777" w:rsidR="00056AEE" w:rsidRDefault="00A00CB7">
      <w:r>
        <w:t>Proposals are invited against the following topic(s):</w:t>
      </w:r>
    </w:p>
    <w:p w14:paraId="36E2ED68" w14:textId="77777777" w:rsidR="00056AEE" w:rsidRDefault="00A00CB7">
      <w:pPr>
        <w:pStyle w:val="HeadingThree"/>
      </w:pPr>
      <w:bookmarkStart w:id="26" w:name="_Toc171689873"/>
      <w:r>
        <w:t>HORIZON-HLTH-2025-01-TOOL-01: Enhancing cell therapies with synthetic biology</w:t>
      </w:r>
      <w:bookmarkEnd w:id="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48"/>
        <w:gridCol w:w="7224"/>
      </w:tblGrid>
      <w:tr w:rsidR="003A38F8" w14:paraId="11F69B34" w14:textId="77777777" w:rsidTr="003A38F8">
        <w:tc>
          <w:tcPr>
            <w:tcW w:w="0" w:type="auto"/>
            <w:gridSpan w:val="2"/>
          </w:tcPr>
          <w:p w14:paraId="3ABA6E3F" w14:textId="77777777" w:rsidR="00056AEE" w:rsidRDefault="00A00CB7">
            <w:pPr>
              <w:pStyle w:val="CellTextValue"/>
            </w:pPr>
            <w:r>
              <w:rPr>
                <w:b/>
              </w:rPr>
              <w:t>Call: Cluster 1 - Health (Single stage - 2025)</w:t>
            </w:r>
          </w:p>
        </w:tc>
      </w:tr>
      <w:tr w:rsidR="003A38F8" w14:paraId="66D73522" w14:textId="77777777" w:rsidTr="003A38F8">
        <w:tc>
          <w:tcPr>
            <w:tcW w:w="0" w:type="auto"/>
            <w:gridSpan w:val="2"/>
          </w:tcPr>
          <w:p w14:paraId="3CACD755" w14:textId="77777777" w:rsidR="00056AEE" w:rsidRDefault="00A00CB7">
            <w:pPr>
              <w:pStyle w:val="CellTextValue"/>
            </w:pPr>
            <w:r>
              <w:rPr>
                <w:b/>
              </w:rPr>
              <w:t>Specific conditions</w:t>
            </w:r>
          </w:p>
        </w:tc>
      </w:tr>
      <w:tr w:rsidR="00056AEE" w14:paraId="012BDF97" w14:textId="77777777">
        <w:tc>
          <w:tcPr>
            <w:tcW w:w="0" w:type="auto"/>
          </w:tcPr>
          <w:p w14:paraId="691E5967" w14:textId="77777777" w:rsidR="00056AEE" w:rsidRDefault="00A00CB7">
            <w:pPr>
              <w:pStyle w:val="CellTextValue"/>
              <w:jc w:val="left"/>
            </w:pPr>
            <w:r>
              <w:rPr>
                <w:i/>
              </w:rPr>
              <w:t>Expected EU contribution per project</w:t>
            </w:r>
          </w:p>
        </w:tc>
        <w:tc>
          <w:tcPr>
            <w:tcW w:w="0" w:type="auto"/>
          </w:tcPr>
          <w:p w14:paraId="4C58AE84" w14:textId="77777777" w:rsidR="00056AEE" w:rsidRDefault="00A00CB7">
            <w:pPr>
              <w:pStyle w:val="CellTextValue"/>
            </w:pPr>
            <w:r>
              <w:t>The Commission estimates that an EU contribution of between EUR 8.00 and 12.00 million would allow these outcomes to be addressed appropriately. Nonetheless, this does not preclude submission and selection of a proposal requesting different amounts.</w:t>
            </w:r>
          </w:p>
        </w:tc>
      </w:tr>
      <w:tr w:rsidR="00056AEE" w14:paraId="53F0AB27" w14:textId="77777777">
        <w:tc>
          <w:tcPr>
            <w:tcW w:w="0" w:type="auto"/>
          </w:tcPr>
          <w:p w14:paraId="0B2D4AF9" w14:textId="77777777" w:rsidR="00056AEE" w:rsidRDefault="00A00CB7">
            <w:pPr>
              <w:pStyle w:val="CellTextValue"/>
              <w:jc w:val="left"/>
            </w:pPr>
            <w:r>
              <w:rPr>
                <w:i/>
              </w:rPr>
              <w:t xml:space="preserve">Indicative </w:t>
            </w:r>
            <w:r>
              <w:rPr>
                <w:i/>
              </w:rPr>
              <w:lastRenderedPageBreak/>
              <w:t>budget</w:t>
            </w:r>
          </w:p>
        </w:tc>
        <w:tc>
          <w:tcPr>
            <w:tcW w:w="0" w:type="auto"/>
          </w:tcPr>
          <w:p w14:paraId="63A1DEE4" w14:textId="77777777" w:rsidR="00056AEE" w:rsidRDefault="00A00CB7">
            <w:pPr>
              <w:pStyle w:val="CellTextValue"/>
            </w:pPr>
            <w:r>
              <w:lastRenderedPageBreak/>
              <w:t>The total indicative budget for the topic is EUR 50.00 million.</w:t>
            </w:r>
          </w:p>
        </w:tc>
      </w:tr>
      <w:tr w:rsidR="00056AEE" w14:paraId="4C73FD50" w14:textId="77777777">
        <w:tc>
          <w:tcPr>
            <w:tcW w:w="0" w:type="auto"/>
          </w:tcPr>
          <w:p w14:paraId="52E2E2EA" w14:textId="77777777" w:rsidR="00056AEE" w:rsidRDefault="00A00CB7">
            <w:pPr>
              <w:pStyle w:val="CellTextValue"/>
              <w:jc w:val="left"/>
            </w:pPr>
            <w:r>
              <w:rPr>
                <w:i/>
              </w:rPr>
              <w:t>Type of Action</w:t>
            </w:r>
          </w:p>
        </w:tc>
        <w:tc>
          <w:tcPr>
            <w:tcW w:w="0" w:type="auto"/>
          </w:tcPr>
          <w:p w14:paraId="65280C7D" w14:textId="77777777" w:rsidR="00056AEE" w:rsidRDefault="00A00CB7">
            <w:pPr>
              <w:pStyle w:val="CellTextValue"/>
            </w:pPr>
            <w:r>
              <w:rPr>
                <w:color w:val="000000"/>
              </w:rPr>
              <w:t>Research and Innovation Actions</w:t>
            </w:r>
          </w:p>
        </w:tc>
      </w:tr>
      <w:tr w:rsidR="00056AEE" w14:paraId="1576705E" w14:textId="77777777">
        <w:tc>
          <w:tcPr>
            <w:tcW w:w="0" w:type="auto"/>
          </w:tcPr>
          <w:p w14:paraId="18C9C11A" w14:textId="77777777" w:rsidR="00056AEE" w:rsidRDefault="00A00CB7">
            <w:pPr>
              <w:pStyle w:val="CellTextValue"/>
              <w:jc w:val="left"/>
            </w:pPr>
            <w:r>
              <w:rPr>
                <w:i/>
              </w:rPr>
              <w:t>Eligibility conditions</w:t>
            </w:r>
          </w:p>
        </w:tc>
        <w:tc>
          <w:tcPr>
            <w:tcW w:w="0" w:type="auto"/>
          </w:tcPr>
          <w:p w14:paraId="0F01D086" w14:textId="77777777" w:rsidR="00056AEE" w:rsidRDefault="00A00CB7">
            <w:pPr>
              <w:pStyle w:val="CellTextValue"/>
            </w:pPr>
            <w:r>
              <w:rPr>
                <w:color w:val="000000"/>
              </w:rPr>
              <w:t>The conditions are described in General Annex B. The following exceptions apply:</w:t>
            </w:r>
          </w:p>
          <w:p w14:paraId="53A9627F"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2434765C"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BAD6132" w14:textId="77777777" w:rsidR="00056AEE" w:rsidRDefault="00A00CB7">
            <w:pPr>
              <w:pStyle w:val="CellTextValue"/>
            </w:pPr>
            <w:r>
              <w:rPr>
                <w:color w:val="000000"/>
              </w:rPr>
              <w:t>The Joint Research Centre (JRC) may participate as member of the consortium selected for funding.</w:t>
            </w:r>
          </w:p>
        </w:tc>
      </w:tr>
      <w:tr w:rsidR="00056AEE" w14:paraId="6B7BF813" w14:textId="77777777">
        <w:tc>
          <w:tcPr>
            <w:tcW w:w="0" w:type="auto"/>
          </w:tcPr>
          <w:p w14:paraId="7BC17846" w14:textId="77777777" w:rsidR="00056AEE" w:rsidRDefault="00A00CB7">
            <w:pPr>
              <w:pStyle w:val="CellTextValue"/>
              <w:jc w:val="left"/>
            </w:pPr>
            <w:r>
              <w:rPr>
                <w:i/>
              </w:rPr>
              <w:t>Award criteria</w:t>
            </w:r>
          </w:p>
        </w:tc>
        <w:tc>
          <w:tcPr>
            <w:tcW w:w="0" w:type="auto"/>
          </w:tcPr>
          <w:p w14:paraId="48300320" w14:textId="77777777" w:rsidR="00056AEE" w:rsidRDefault="00A00CB7">
            <w:pPr>
              <w:pStyle w:val="CellTextValue"/>
            </w:pPr>
            <w:r>
              <w:rPr>
                <w:color w:val="000000"/>
              </w:rPr>
              <w:t>The criteria are described in General Annex D. The following exceptions apply:</w:t>
            </w:r>
          </w:p>
          <w:p w14:paraId="74F4B977" w14:textId="77777777" w:rsidR="00056AEE" w:rsidRDefault="00A00CB7">
            <w:pPr>
              <w:pStyle w:val="CellTextValue"/>
            </w:pPr>
            <w:r>
              <w:rPr>
                <w:color w:val="000000"/>
              </w:rPr>
              <w:t>The thresholds for each criterion will be 4 (Excellence), 4 (Impact) and 4 (Implementation). The cumulative threshold will be 12.</w:t>
            </w:r>
          </w:p>
        </w:tc>
      </w:tr>
      <w:tr w:rsidR="00056AEE" w14:paraId="531C6936" w14:textId="77777777">
        <w:tc>
          <w:tcPr>
            <w:tcW w:w="0" w:type="auto"/>
          </w:tcPr>
          <w:p w14:paraId="0DE8D5D6" w14:textId="77777777" w:rsidR="00056AEE" w:rsidRDefault="00A00CB7">
            <w:pPr>
              <w:pStyle w:val="CellTextValue"/>
              <w:jc w:val="left"/>
            </w:pPr>
            <w:r>
              <w:rPr>
                <w:i/>
              </w:rPr>
              <w:t>Procedure</w:t>
            </w:r>
          </w:p>
        </w:tc>
        <w:tc>
          <w:tcPr>
            <w:tcW w:w="0" w:type="auto"/>
          </w:tcPr>
          <w:p w14:paraId="386019A1" w14:textId="77777777" w:rsidR="00056AEE" w:rsidRDefault="00A00CB7">
            <w:pPr>
              <w:pStyle w:val="CellTextValue"/>
            </w:pPr>
            <w:r>
              <w:rPr>
                <w:color w:val="000000"/>
              </w:rPr>
              <w:t>The procedure is described in General Annex F. The following exceptions apply:</w:t>
            </w:r>
          </w:p>
          <w:p w14:paraId="59C419BE" w14:textId="77777777" w:rsidR="00056AEE" w:rsidRDefault="00A00CB7">
            <w:pPr>
              <w:pStyle w:val="CellTextValue"/>
            </w:pPr>
            <w:r>
              <w:rPr>
                <w:color w:val="000000"/>
              </w:rPr>
              <w:t xml:space="preserve">Actions under this topic may address any disease, dysfunction or health impairment as therapeutic area. </w:t>
            </w:r>
            <w:proofErr w:type="gramStart"/>
            <w:r>
              <w:rPr>
                <w:color w:val="000000"/>
              </w:rPr>
              <w:t>In order to</w:t>
            </w:r>
            <w:proofErr w:type="gramEnd"/>
            <w:r>
              <w:rPr>
                <w:color w:val="000000"/>
              </w:rPr>
              <w:t xml:space="preserve"> ensure a balanced project portfolio with regard to the therapeutic area targeted, grants will be awarded to proposals not only in order of ranking but also in function of the coverage of different therapeutic areas, under the condition that the applications attain all thresholds. Therefore, only one grant will be awarded per therapeutic area, </w:t>
            </w:r>
            <w:proofErr w:type="gramStart"/>
            <w:r>
              <w:rPr>
                <w:color w:val="000000"/>
              </w:rPr>
              <w:t>provided that</w:t>
            </w:r>
            <w:proofErr w:type="gramEnd"/>
            <w:r>
              <w:rPr>
                <w:color w:val="000000"/>
              </w:rPr>
              <w:t xml:space="preserve"> there are proposals above all thresholds in other therapeutic areas. If the latter is not the case, more than one grant can be awarded per therapeutic area, in order of ranking.</w:t>
            </w:r>
          </w:p>
        </w:tc>
      </w:tr>
    </w:tbl>
    <w:p w14:paraId="03FD18A2" w14:textId="77777777" w:rsidR="00056AEE" w:rsidRDefault="00056AEE">
      <w:pPr>
        <w:spacing w:after="0" w:line="150" w:lineRule="auto"/>
      </w:pPr>
    </w:p>
    <w:p w14:paraId="1FA6B46D"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directed towards and contributing to several of the following expected outcomes:</w:t>
      </w:r>
    </w:p>
    <w:p w14:paraId="59648E91" w14:textId="77777777" w:rsidR="00056AEE" w:rsidRDefault="00A00CB7" w:rsidP="003A38F8">
      <w:pPr>
        <w:pStyle w:val="Paragraphedeliste"/>
        <w:numPr>
          <w:ilvl w:val="0"/>
          <w:numId w:val="43"/>
        </w:numPr>
      </w:pPr>
      <w:r>
        <w:rPr>
          <w:color w:val="000000"/>
        </w:rPr>
        <w:t>Biomedical scientists dispose of tools that allow them to engineer cells with specific therapeutic features.</w:t>
      </w:r>
    </w:p>
    <w:p w14:paraId="01BE29C5" w14:textId="77777777" w:rsidR="00056AEE" w:rsidRDefault="00A00CB7" w:rsidP="003A38F8">
      <w:pPr>
        <w:pStyle w:val="Paragraphedeliste"/>
        <w:numPr>
          <w:ilvl w:val="0"/>
          <w:numId w:val="43"/>
        </w:numPr>
      </w:pPr>
      <w:r>
        <w:rPr>
          <w:color w:val="000000"/>
        </w:rPr>
        <w:t>Improved methods and assays are available for biopharmaceutical developers.</w:t>
      </w:r>
    </w:p>
    <w:p w14:paraId="77551CEA" w14:textId="77777777" w:rsidR="00056AEE" w:rsidRDefault="00A00CB7" w:rsidP="003A38F8">
      <w:pPr>
        <w:pStyle w:val="Paragraphedeliste"/>
        <w:numPr>
          <w:ilvl w:val="0"/>
          <w:numId w:val="43"/>
        </w:numPr>
      </w:pPr>
      <w:r>
        <w:rPr>
          <w:color w:val="000000"/>
        </w:rPr>
        <w:lastRenderedPageBreak/>
        <w:t>Clinicians will get access to innovative therapeutic approaches enabling them to treat conditions, where there are currently no or only insufficient therapeutic strategies.</w:t>
      </w:r>
    </w:p>
    <w:p w14:paraId="17433F9D" w14:textId="77777777" w:rsidR="00056AEE" w:rsidRDefault="00A00CB7" w:rsidP="003A38F8">
      <w:pPr>
        <w:pStyle w:val="Paragraphedeliste"/>
        <w:numPr>
          <w:ilvl w:val="0"/>
          <w:numId w:val="43"/>
        </w:numPr>
      </w:pPr>
      <w:r>
        <w:rPr>
          <w:color w:val="000000"/>
        </w:rPr>
        <w:t xml:space="preserve">Novel types of personalised therapy options will be offered to patients. </w:t>
      </w:r>
    </w:p>
    <w:p w14:paraId="09EC2528" w14:textId="77777777" w:rsidR="00056AEE" w:rsidRDefault="00A00CB7">
      <w:r>
        <w:rPr>
          <w:u w:val="single"/>
        </w:rPr>
        <w:t>Scope</w:t>
      </w:r>
      <w:r>
        <w:t xml:space="preserve">: </w:t>
      </w:r>
      <w:r>
        <w:rPr>
          <w:color w:val="000000"/>
        </w:rPr>
        <w:t xml:space="preserve">Therapies based on cells, stem cells or somatic cells, have been shown to be highly effective as therapeutics for a variety of health conditions. However, bottlenecks remain which currently hamper their safe and efficient application on a large scale. Synthetic biology including genome- and epigenome editing has great potential to overcome some of these bottlenecks and to lead to the next-generation of cell-based therapies. Advancing the frontier of cell-based therapy with these tools and further translation of such research into clinically viable solutions may </w:t>
      </w:r>
      <w:proofErr w:type="gramStart"/>
      <w:r>
        <w:rPr>
          <w:color w:val="000000"/>
        </w:rPr>
        <w:t>open up</w:t>
      </w:r>
      <w:proofErr w:type="gramEnd"/>
      <w:r>
        <w:rPr>
          <w:color w:val="000000"/>
        </w:rPr>
        <w:t xml:space="preserve"> a new era of innovative therapies.</w:t>
      </w:r>
    </w:p>
    <w:p w14:paraId="435A2F12" w14:textId="77777777" w:rsidR="00056AEE" w:rsidRDefault="00A00CB7">
      <w:r>
        <w:rPr>
          <w:color w:val="000000"/>
        </w:rPr>
        <w:t>This topic aims at the design of engineered cells to address the current limitations of cellular therapies, such as delivery efficiency, patient safety, in vivo persistence, desired therapeutic effect, immune tolerance and manufacturing workflows. The chosen synthetic biology approach should enable to control the characteristics, fate and function of the engineered cells from gene level onwards and thus lead to customised cells with improved therapeutic features.</w:t>
      </w:r>
    </w:p>
    <w:p w14:paraId="75CCA093" w14:textId="77777777" w:rsidR="00056AEE" w:rsidRDefault="00A00CB7">
      <w:r>
        <w:rPr>
          <w:color w:val="000000"/>
        </w:rPr>
        <w:t>The use of synthetic biology and in particular gene editing tools should be a key element in the design of the engineered cells. The therapeutic action should be based on the endogenous capabilities of the cells, exogenous loading of cells with drugs is not in scope.</w:t>
      </w:r>
    </w:p>
    <w:p w14:paraId="46391BD7" w14:textId="77777777" w:rsidR="00056AEE" w:rsidRDefault="00A00CB7">
      <w:r>
        <w:rPr>
          <w:color w:val="000000"/>
        </w:rPr>
        <w:t xml:space="preserve">While the engineered cells should be derived from mammalian cells, either stem cells or somatic cells may be </w:t>
      </w:r>
      <w:proofErr w:type="gramStart"/>
      <w:r>
        <w:rPr>
          <w:color w:val="000000"/>
        </w:rPr>
        <w:t>used</w:t>
      </w:r>
      <w:proofErr w:type="gramEnd"/>
      <w:r>
        <w:rPr>
          <w:color w:val="000000"/>
        </w:rPr>
        <w:t xml:space="preserve"> and their origin may be autologous, allogeneic or xenogeneic.</w:t>
      </w:r>
    </w:p>
    <w:p w14:paraId="17EDEB70" w14:textId="77777777" w:rsidR="00056AEE" w:rsidRDefault="00A00CB7">
      <w:r>
        <w:rPr>
          <w:color w:val="000000"/>
        </w:rPr>
        <w:t>Synthetic biology including new genomic techniques should be used to achieve the desired cell phenotype. Gene control systems, including transcriptional, translational and/or post-translational control, and other approaches which install on-off switches and control systems, like e.g. a “sense-and respond” mechanism in the engineered cells, sometimes also referred to as “</w:t>
      </w:r>
      <w:proofErr w:type="spellStart"/>
      <w:r>
        <w:rPr>
          <w:color w:val="000000"/>
        </w:rPr>
        <w:t>theranostic</w:t>
      </w:r>
      <w:proofErr w:type="spellEnd"/>
      <w:r>
        <w:rPr>
          <w:color w:val="000000"/>
        </w:rPr>
        <w:t xml:space="preserve"> cells”, are to be considered. State of the art digital tools (e.g. Computer-Aided Design - CAD and similar tools) may be used to accelerate the design-build-test cycles of the engineered biological circuits. Test systems like organoids and organ-on-chip/micro-fluidic systems may be used for testing and demonstration of function and performance of the engineered cells. The overall goal is to show that the engineered cells are safe and exert the programmed therapeutic effect </w:t>
      </w:r>
      <w:r>
        <w:rPr>
          <w:i/>
          <w:color w:val="000000"/>
        </w:rPr>
        <w:t>in-vivo</w:t>
      </w:r>
      <w:r>
        <w:rPr>
          <w:color w:val="000000"/>
        </w:rPr>
        <w:t>.</w:t>
      </w:r>
    </w:p>
    <w:p w14:paraId="1D6DE37C" w14:textId="77777777" w:rsidR="00056AEE" w:rsidRDefault="00A00CB7">
      <w:r>
        <w:rPr>
          <w:color w:val="000000"/>
        </w:rPr>
        <w:t>Hybrid approaches, such as multi-cellular therapies using combinations of different types of cells, or cells combined or enriched with their sub-units, are equally to be considered.</w:t>
      </w:r>
    </w:p>
    <w:p w14:paraId="1BBCBD94" w14:textId="77777777" w:rsidR="00056AEE" w:rsidRDefault="00A00CB7">
      <w:r>
        <w:rPr>
          <w:color w:val="000000"/>
        </w:rPr>
        <w:t>The added value, safety and performance of the engineered cell-based therapy should be validated in appropriate pre-clinical models. Any disease, dysfunction or health impairment may be selected as therapeutic area (e.g.: cancer, neurological disorders, autoimmune diseases, metabolic diseases, cardiovascular diseases, musculoskeletal disorders, etc.).</w:t>
      </w:r>
    </w:p>
    <w:p w14:paraId="32C18CB7" w14:textId="77777777" w:rsidR="00056AEE" w:rsidRDefault="00A00CB7">
      <w:r>
        <w:rPr>
          <w:color w:val="000000"/>
        </w:rPr>
        <w:t>The demonstration of the feasibility of the proposed cell therapy in first in-man studies would be an asset.</w:t>
      </w:r>
    </w:p>
    <w:p w14:paraId="464019ED" w14:textId="77777777" w:rsidR="00056AEE" w:rsidRDefault="00A00CB7">
      <w:r>
        <w:rPr>
          <w:color w:val="000000"/>
        </w:rPr>
        <w:lastRenderedPageBreak/>
        <w:t>Aspects related to sex should be taken into consideration as well as the collaboration with relevant European research infrastructures. Participation of small and medium-size enterprises (SMEs) is strongly encouraged.</w:t>
      </w:r>
    </w:p>
    <w:p w14:paraId="242F83F3" w14:textId="77777777" w:rsidR="00056AEE" w:rsidRDefault="00A00CB7">
      <w:r>
        <w:rPr>
          <w:color w:val="000000"/>
        </w:rPr>
        <w:t>Proposals should consider the involvement of the European Commission's Joint Research Centre (JRC) as a potential interface between research activities and pre-normative regulatory science and in relation to the potential validation of test methods fit for regulatory purpose. In that respect, the JRC will consider collaborating with any successful proposal and this collaboration, when relevant, should be established after the proposal’s approval.</w:t>
      </w:r>
    </w:p>
    <w:p w14:paraId="4DE5B580"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0070E07F" w14:textId="77777777" w:rsidR="00056AEE" w:rsidRDefault="00A00CB7">
      <w:pPr>
        <w:pStyle w:val="HeadingThree"/>
      </w:pPr>
      <w:bookmarkStart w:id="27" w:name="_Toc171689874"/>
      <w:r>
        <w:t xml:space="preserve">HORIZON-HLTH-2025-01-TOOL-02: Advancing cell </w:t>
      </w:r>
      <w:proofErr w:type="spellStart"/>
      <w:r>
        <w:t>secretome</w:t>
      </w:r>
      <w:proofErr w:type="spellEnd"/>
      <w:r>
        <w:t>-based therapies</w:t>
      </w:r>
      <w:bookmarkEnd w:id="2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1"/>
        <w:gridCol w:w="7111"/>
      </w:tblGrid>
      <w:tr w:rsidR="003A38F8" w14:paraId="777EFC73" w14:textId="77777777" w:rsidTr="003A38F8">
        <w:tc>
          <w:tcPr>
            <w:tcW w:w="0" w:type="auto"/>
            <w:gridSpan w:val="2"/>
          </w:tcPr>
          <w:p w14:paraId="05611852" w14:textId="77777777" w:rsidR="00056AEE" w:rsidRDefault="00A00CB7">
            <w:pPr>
              <w:pStyle w:val="CellTextValue"/>
            </w:pPr>
            <w:r>
              <w:rPr>
                <w:b/>
              </w:rPr>
              <w:t>Call: Cluster 1 - Health (Single stage - 2025)</w:t>
            </w:r>
          </w:p>
        </w:tc>
      </w:tr>
      <w:tr w:rsidR="003A38F8" w14:paraId="3B78EE6F" w14:textId="77777777" w:rsidTr="003A38F8">
        <w:tc>
          <w:tcPr>
            <w:tcW w:w="0" w:type="auto"/>
            <w:gridSpan w:val="2"/>
          </w:tcPr>
          <w:p w14:paraId="5DA7B300" w14:textId="77777777" w:rsidR="00056AEE" w:rsidRDefault="00A00CB7">
            <w:pPr>
              <w:pStyle w:val="CellTextValue"/>
            </w:pPr>
            <w:r>
              <w:rPr>
                <w:b/>
              </w:rPr>
              <w:t>Specific conditions</w:t>
            </w:r>
          </w:p>
        </w:tc>
      </w:tr>
      <w:tr w:rsidR="00056AEE" w14:paraId="46EE15F1" w14:textId="77777777">
        <w:tc>
          <w:tcPr>
            <w:tcW w:w="0" w:type="auto"/>
          </w:tcPr>
          <w:p w14:paraId="295FEC9F" w14:textId="77777777" w:rsidR="00056AEE" w:rsidRDefault="00A00CB7">
            <w:pPr>
              <w:pStyle w:val="CellTextValue"/>
              <w:jc w:val="left"/>
            </w:pPr>
            <w:r>
              <w:rPr>
                <w:i/>
              </w:rPr>
              <w:t>Expected EU contribution per project</w:t>
            </w:r>
          </w:p>
        </w:tc>
        <w:tc>
          <w:tcPr>
            <w:tcW w:w="0" w:type="auto"/>
          </w:tcPr>
          <w:p w14:paraId="60055080" w14:textId="77777777" w:rsidR="00056AEE" w:rsidRDefault="00A00CB7">
            <w:pPr>
              <w:pStyle w:val="CellTextValue"/>
            </w:pPr>
            <w:r>
              <w:t>The Commission estimates that an EU contribution of between EUR 10.00 and 15.00 million would allow these outcomes to be addressed appropriately. Nonetheless, this does not preclude submission and selection of a proposal requesting different amounts.</w:t>
            </w:r>
          </w:p>
        </w:tc>
      </w:tr>
      <w:tr w:rsidR="00056AEE" w14:paraId="7602A6CF" w14:textId="77777777">
        <w:tc>
          <w:tcPr>
            <w:tcW w:w="0" w:type="auto"/>
          </w:tcPr>
          <w:p w14:paraId="36CC976B" w14:textId="77777777" w:rsidR="00056AEE" w:rsidRDefault="00A00CB7">
            <w:pPr>
              <w:pStyle w:val="CellTextValue"/>
              <w:jc w:val="left"/>
            </w:pPr>
            <w:r>
              <w:rPr>
                <w:i/>
              </w:rPr>
              <w:t>Indicative budget</w:t>
            </w:r>
          </w:p>
        </w:tc>
        <w:tc>
          <w:tcPr>
            <w:tcW w:w="0" w:type="auto"/>
          </w:tcPr>
          <w:p w14:paraId="61D9A7AE" w14:textId="77777777" w:rsidR="00056AEE" w:rsidRDefault="00A00CB7">
            <w:pPr>
              <w:pStyle w:val="CellTextValue"/>
            </w:pPr>
            <w:r>
              <w:t>The total indicative budget for the topic is EUR 40.00 million.</w:t>
            </w:r>
          </w:p>
        </w:tc>
      </w:tr>
      <w:tr w:rsidR="00056AEE" w14:paraId="2377F3AC" w14:textId="77777777">
        <w:tc>
          <w:tcPr>
            <w:tcW w:w="0" w:type="auto"/>
          </w:tcPr>
          <w:p w14:paraId="5EC642EA" w14:textId="77777777" w:rsidR="00056AEE" w:rsidRDefault="00A00CB7">
            <w:pPr>
              <w:pStyle w:val="CellTextValue"/>
              <w:jc w:val="left"/>
            </w:pPr>
            <w:r>
              <w:rPr>
                <w:i/>
              </w:rPr>
              <w:t>Type of Action</w:t>
            </w:r>
          </w:p>
        </w:tc>
        <w:tc>
          <w:tcPr>
            <w:tcW w:w="0" w:type="auto"/>
          </w:tcPr>
          <w:p w14:paraId="7702049D" w14:textId="77777777" w:rsidR="00056AEE" w:rsidRDefault="00A00CB7">
            <w:pPr>
              <w:pStyle w:val="CellTextValue"/>
            </w:pPr>
            <w:r>
              <w:rPr>
                <w:color w:val="000000"/>
              </w:rPr>
              <w:t>Research and Innovation Actions</w:t>
            </w:r>
          </w:p>
        </w:tc>
      </w:tr>
      <w:tr w:rsidR="00056AEE" w14:paraId="42F9D76B" w14:textId="77777777">
        <w:tc>
          <w:tcPr>
            <w:tcW w:w="0" w:type="auto"/>
          </w:tcPr>
          <w:p w14:paraId="4BCBD20B" w14:textId="77777777" w:rsidR="00056AEE" w:rsidRDefault="00A00CB7">
            <w:pPr>
              <w:pStyle w:val="CellTextValue"/>
              <w:jc w:val="left"/>
            </w:pPr>
            <w:r>
              <w:rPr>
                <w:i/>
              </w:rPr>
              <w:t>Eligibility conditions</w:t>
            </w:r>
          </w:p>
        </w:tc>
        <w:tc>
          <w:tcPr>
            <w:tcW w:w="0" w:type="auto"/>
          </w:tcPr>
          <w:p w14:paraId="6545D18D" w14:textId="77777777" w:rsidR="00056AEE" w:rsidRDefault="00A00CB7">
            <w:pPr>
              <w:pStyle w:val="CellTextValue"/>
            </w:pPr>
            <w:r>
              <w:rPr>
                <w:color w:val="000000"/>
              </w:rPr>
              <w:t>The conditions are described in General Annex B. The following exceptions apply:</w:t>
            </w:r>
          </w:p>
          <w:p w14:paraId="4284FB18"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2A19EA4"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D4FA1AB" w14:textId="77777777" w:rsidR="00056AEE" w:rsidRDefault="00A00CB7">
            <w:pPr>
              <w:pStyle w:val="CellTextValue"/>
            </w:pPr>
            <w:r>
              <w:rPr>
                <w:color w:val="000000"/>
              </w:rPr>
              <w:t>The Joint Research Centre (JRC) may participate as member of the consortium selected for funding.</w:t>
            </w:r>
          </w:p>
        </w:tc>
      </w:tr>
      <w:tr w:rsidR="00056AEE" w14:paraId="5EC1F5B3" w14:textId="77777777">
        <w:tc>
          <w:tcPr>
            <w:tcW w:w="0" w:type="auto"/>
          </w:tcPr>
          <w:p w14:paraId="05C9FA7C" w14:textId="77777777" w:rsidR="00056AEE" w:rsidRDefault="00A00CB7">
            <w:pPr>
              <w:pStyle w:val="CellTextValue"/>
              <w:jc w:val="left"/>
            </w:pPr>
            <w:r>
              <w:rPr>
                <w:i/>
              </w:rPr>
              <w:t>Award criteria</w:t>
            </w:r>
          </w:p>
        </w:tc>
        <w:tc>
          <w:tcPr>
            <w:tcW w:w="0" w:type="auto"/>
          </w:tcPr>
          <w:p w14:paraId="309B0A57" w14:textId="77777777" w:rsidR="00056AEE" w:rsidRDefault="00A00CB7">
            <w:pPr>
              <w:pStyle w:val="CellTextValue"/>
            </w:pPr>
            <w:r>
              <w:rPr>
                <w:color w:val="000000"/>
              </w:rPr>
              <w:t>The criteria are described in General Annex D. The following exceptions apply:</w:t>
            </w:r>
          </w:p>
          <w:p w14:paraId="46E87449" w14:textId="77777777" w:rsidR="00056AEE" w:rsidRDefault="00A00CB7">
            <w:pPr>
              <w:pStyle w:val="CellTextValue"/>
            </w:pPr>
            <w:r>
              <w:rPr>
                <w:color w:val="000000"/>
              </w:rPr>
              <w:t>The thresholds for each criterion will be 4 (Excellence), 4 (Impact) and 4 (Implementation). The cumulative threshold will be 12.</w:t>
            </w:r>
          </w:p>
        </w:tc>
      </w:tr>
    </w:tbl>
    <w:p w14:paraId="51FBC46B" w14:textId="77777777" w:rsidR="00056AEE" w:rsidRDefault="00056AEE">
      <w:pPr>
        <w:spacing w:after="0" w:line="150" w:lineRule="auto"/>
      </w:pPr>
    </w:p>
    <w:p w14:paraId="42AB2865" w14:textId="77777777" w:rsidR="00056AEE" w:rsidRDefault="00A00CB7">
      <w:r>
        <w:rPr>
          <w:u w:val="single"/>
        </w:rPr>
        <w:lastRenderedPageBreak/>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directed towards and contributing to several of the following expected outcomes:</w:t>
      </w:r>
    </w:p>
    <w:p w14:paraId="3B397745" w14:textId="77777777" w:rsidR="00056AEE" w:rsidRDefault="00A00CB7" w:rsidP="003A38F8">
      <w:pPr>
        <w:pStyle w:val="Paragraphedeliste"/>
        <w:numPr>
          <w:ilvl w:val="0"/>
          <w:numId w:val="44"/>
        </w:numPr>
      </w:pPr>
      <w:r>
        <w:rPr>
          <w:color w:val="000000"/>
        </w:rPr>
        <w:t>Researchers and biopharmaceutical developers work together with clinicians striving to translate innovative therapeutic approaches into healthcare solutions.</w:t>
      </w:r>
    </w:p>
    <w:p w14:paraId="26A15DF8" w14:textId="77777777" w:rsidR="00056AEE" w:rsidRDefault="00A00CB7" w:rsidP="003A38F8">
      <w:pPr>
        <w:pStyle w:val="Paragraphedeliste"/>
        <w:numPr>
          <w:ilvl w:val="0"/>
          <w:numId w:val="44"/>
        </w:numPr>
      </w:pPr>
      <w:r>
        <w:rPr>
          <w:color w:val="000000"/>
        </w:rPr>
        <w:t>Producers of innovative health technologies use standardised manufacturing processes.</w:t>
      </w:r>
    </w:p>
    <w:p w14:paraId="179ECD03" w14:textId="77777777" w:rsidR="00056AEE" w:rsidRDefault="00A00CB7" w:rsidP="003A38F8">
      <w:pPr>
        <w:pStyle w:val="Paragraphedeliste"/>
        <w:numPr>
          <w:ilvl w:val="0"/>
          <w:numId w:val="44"/>
        </w:numPr>
      </w:pPr>
      <w:r>
        <w:rPr>
          <w:color w:val="000000"/>
        </w:rPr>
        <w:t>Healthcare providers get access to a new type of innovative therapies with demonstrated health benefits as compared to traditional treatments.</w:t>
      </w:r>
    </w:p>
    <w:p w14:paraId="422B9E5E" w14:textId="77777777" w:rsidR="00056AEE" w:rsidRDefault="00A00CB7" w:rsidP="003A38F8">
      <w:pPr>
        <w:pStyle w:val="Paragraphedeliste"/>
        <w:numPr>
          <w:ilvl w:val="0"/>
          <w:numId w:val="44"/>
        </w:numPr>
      </w:pPr>
      <w:r>
        <w:rPr>
          <w:color w:val="000000"/>
        </w:rPr>
        <w:t>Patients benefit from innovative therapies for conditions for which there are currently no or only insufficient therapeutic strategies.</w:t>
      </w:r>
    </w:p>
    <w:p w14:paraId="1E67516B" w14:textId="77777777" w:rsidR="00056AEE" w:rsidRDefault="00A00CB7" w:rsidP="003A38F8">
      <w:pPr>
        <w:pStyle w:val="Paragraphedeliste"/>
        <w:numPr>
          <w:ilvl w:val="0"/>
          <w:numId w:val="44"/>
        </w:numPr>
      </w:pPr>
      <w:r>
        <w:rPr>
          <w:color w:val="000000"/>
        </w:rPr>
        <w:t xml:space="preserve">Health systems ultimately benefit from improved patient outcomes, superior to the current standard of care. </w:t>
      </w:r>
    </w:p>
    <w:p w14:paraId="7CAB4478" w14:textId="77777777" w:rsidR="00056AEE" w:rsidRDefault="00A00CB7">
      <w:r>
        <w:rPr>
          <w:u w:val="single"/>
        </w:rPr>
        <w:t>Scope</w:t>
      </w:r>
      <w:r>
        <w:t xml:space="preserve">: </w:t>
      </w:r>
      <w:proofErr w:type="spellStart"/>
      <w:r>
        <w:rPr>
          <w:color w:val="000000"/>
        </w:rPr>
        <w:t>Secretome</w:t>
      </w:r>
      <w:proofErr w:type="spellEnd"/>
      <w:r>
        <w:rPr>
          <w:color w:val="000000"/>
        </w:rPr>
        <w:t xml:space="preserve">-based therapies have emerged as a promising alternative to cell-based therapies. The </w:t>
      </w:r>
      <w:proofErr w:type="spellStart"/>
      <w:r>
        <w:rPr>
          <w:color w:val="000000"/>
        </w:rPr>
        <w:t>secretome</w:t>
      </w:r>
      <w:proofErr w:type="spellEnd"/>
      <w:r>
        <w:rPr>
          <w:color w:val="000000"/>
        </w:rPr>
        <w:t xml:space="preserve"> of cells is defined as the repertoire of molecules and biological factors that are secreted into the extracellular space and has been shown to be a key factor for therapeutic activity due to its paracrine effects. The potential to manufacture, store and use </w:t>
      </w:r>
      <w:proofErr w:type="spellStart"/>
      <w:r>
        <w:rPr>
          <w:color w:val="000000"/>
        </w:rPr>
        <w:t>secretome</w:t>
      </w:r>
      <w:proofErr w:type="spellEnd"/>
      <w:r>
        <w:rPr>
          <w:color w:val="000000"/>
        </w:rPr>
        <w:t xml:space="preserve"> factors as off-the-shelf products, while maintaining the therapeutic benefits of cells but with fewer safety concerns, has placed the </w:t>
      </w:r>
      <w:proofErr w:type="spellStart"/>
      <w:r>
        <w:rPr>
          <w:color w:val="000000"/>
        </w:rPr>
        <w:t>secretome</w:t>
      </w:r>
      <w:proofErr w:type="spellEnd"/>
      <w:r>
        <w:rPr>
          <w:color w:val="000000"/>
        </w:rPr>
        <w:t xml:space="preserve"> at the forefront of regenerative medicine. Different cell </w:t>
      </w:r>
      <w:proofErr w:type="spellStart"/>
      <w:r>
        <w:rPr>
          <w:color w:val="000000"/>
        </w:rPr>
        <w:t>secretomes</w:t>
      </w:r>
      <w:proofErr w:type="spellEnd"/>
      <w:r>
        <w:rPr>
          <w:color w:val="000000"/>
        </w:rPr>
        <w:t xml:space="preserve"> or parts thereof have been subject of clinical trials, but there is currently no regulatory-approved </w:t>
      </w:r>
      <w:proofErr w:type="spellStart"/>
      <w:r>
        <w:rPr>
          <w:color w:val="000000"/>
        </w:rPr>
        <w:t>secretome</w:t>
      </w:r>
      <w:proofErr w:type="spellEnd"/>
      <w:r>
        <w:rPr>
          <w:color w:val="000000"/>
        </w:rPr>
        <w:t xml:space="preserve">-based therapy owing to several challenges involved. Currently, for the majority of </w:t>
      </w:r>
      <w:proofErr w:type="spellStart"/>
      <w:r>
        <w:rPr>
          <w:color w:val="000000"/>
        </w:rPr>
        <w:t>secretome</w:t>
      </w:r>
      <w:proofErr w:type="spellEnd"/>
      <w:r>
        <w:rPr>
          <w:color w:val="000000"/>
        </w:rPr>
        <w:t xml:space="preserve">-based therapies, main bottlenecks </w:t>
      </w:r>
      <w:proofErr w:type="gramStart"/>
      <w:r>
        <w:rPr>
          <w:color w:val="000000"/>
        </w:rPr>
        <w:t>are:</w:t>
      </w:r>
      <w:proofErr w:type="gramEnd"/>
      <w:r>
        <w:rPr>
          <w:color w:val="000000"/>
        </w:rPr>
        <w:t xml:space="preserve"> the incomplete understanding of their mode of action, their reproducibility due to a lack of standardised manufacturing processes and a lack of potency- and quality assurance assays. Additional limitations are the characterisation of the bioactive factors and the optimisation of the delivery strategies.</w:t>
      </w:r>
    </w:p>
    <w:p w14:paraId="516E9E30" w14:textId="77777777" w:rsidR="00056AEE" w:rsidRDefault="00A00CB7">
      <w:r>
        <w:rPr>
          <w:color w:val="000000"/>
        </w:rPr>
        <w:t xml:space="preserve">Proposals submitted under this topic should tackle the above-mentioned issues and pave the way to </w:t>
      </w:r>
      <w:proofErr w:type="spellStart"/>
      <w:r>
        <w:rPr>
          <w:color w:val="000000"/>
        </w:rPr>
        <w:t>secretome</w:t>
      </w:r>
      <w:proofErr w:type="spellEnd"/>
      <w:r>
        <w:rPr>
          <w:color w:val="000000"/>
        </w:rPr>
        <w:t xml:space="preserve">-based therapies that are safe, efficacious, and regulatory-approved for human use. The activities should be on </w:t>
      </w:r>
      <w:proofErr w:type="spellStart"/>
      <w:r>
        <w:rPr>
          <w:color w:val="000000"/>
        </w:rPr>
        <w:t>secretomes</w:t>
      </w:r>
      <w:proofErr w:type="spellEnd"/>
      <w:r>
        <w:rPr>
          <w:color w:val="000000"/>
        </w:rPr>
        <w:t xml:space="preserve"> or their parts that are derived from human cells and comprise all the following elements:</w:t>
      </w:r>
    </w:p>
    <w:p w14:paraId="1BB7752D" w14:textId="77777777" w:rsidR="00056AEE" w:rsidRDefault="00A00CB7" w:rsidP="003A38F8">
      <w:pPr>
        <w:pStyle w:val="Paragraphedeliste"/>
        <w:numPr>
          <w:ilvl w:val="0"/>
          <w:numId w:val="45"/>
        </w:numPr>
      </w:pPr>
      <w:r>
        <w:rPr>
          <w:color w:val="000000"/>
        </w:rPr>
        <w:t xml:space="preserve">The selection of a </w:t>
      </w:r>
      <w:proofErr w:type="spellStart"/>
      <w:r>
        <w:rPr>
          <w:color w:val="000000"/>
        </w:rPr>
        <w:t>secretome</w:t>
      </w:r>
      <w:proofErr w:type="spellEnd"/>
      <w:r>
        <w:rPr>
          <w:color w:val="000000"/>
        </w:rPr>
        <w:t xml:space="preserve">-based therapy for which the main mechanism of action has been elucidated (in-vitro and/or in-vivo models). The selected </w:t>
      </w:r>
      <w:proofErr w:type="spellStart"/>
      <w:r>
        <w:rPr>
          <w:color w:val="000000"/>
        </w:rPr>
        <w:t>secretome</w:t>
      </w:r>
      <w:proofErr w:type="spellEnd"/>
      <w:r>
        <w:rPr>
          <w:color w:val="000000"/>
        </w:rPr>
        <w:t xml:space="preserve"> or its chosen bio-active components (extracellular vesicles, trophic factors, organelles, RNA, proteins, peptides, etc.), including those that are potentially harmful, should be characterised and its therapeutic activity should already have been demonstrated in relevant pre-clinical models. As underlying parent cells all types of human cells may be used.</w:t>
      </w:r>
    </w:p>
    <w:p w14:paraId="6816FBBD" w14:textId="77777777" w:rsidR="00056AEE" w:rsidRDefault="00A00CB7" w:rsidP="003A38F8">
      <w:pPr>
        <w:pStyle w:val="Paragraphedeliste"/>
        <w:numPr>
          <w:ilvl w:val="0"/>
          <w:numId w:val="45"/>
        </w:numPr>
      </w:pPr>
      <w:r>
        <w:rPr>
          <w:color w:val="000000"/>
        </w:rPr>
        <w:lastRenderedPageBreak/>
        <w:t>All activities that are necessary to ensure regulatory and ethical approvals enabling to conduct the clinical study. This may comprise the full characterisation, standardised analytical methods, further pre-clinical studies in relevant models (pertinent to the targeted disease or disorder) and appropriate quality assurance assays including computational approaches, organoids and organ-on chips/microfluidic systems.</w:t>
      </w:r>
    </w:p>
    <w:p w14:paraId="54C46AEF" w14:textId="77777777" w:rsidR="00056AEE" w:rsidRDefault="00A00CB7" w:rsidP="003A38F8">
      <w:pPr>
        <w:pStyle w:val="Paragraphedeliste"/>
        <w:numPr>
          <w:ilvl w:val="0"/>
          <w:numId w:val="45"/>
        </w:numPr>
      </w:pPr>
      <w:r>
        <w:rPr>
          <w:color w:val="000000"/>
        </w:rPr>
        <w:t xml:space="preserve">Establishment of a manufacturing protocol for the selected </w:t>
      </w:r>
      <w:proofErr w:type="spellStart"/>
      <w:r>
        <w:rPr>
          <w:color w:val="000000"/>
        </w:rPr>
        <w:t>secretome</w:t>
      </w:r>
      <w:proofErr w:type="spellEnd"/>
      <w:r>
        <w:rPr>
          <w:color w:val="000000"/>
        </w:rPr>
        <w:t xml:space="preserve"> or its components, including all the steps of the biogenesis: parent cells selection, their pre-conditioning and </w:t>
      </w:r>
      <w:proofErr w:type="gramStart"/>
      <w:r>
        <w:rPr>
          <w:color w:val="000000"/>
        </w:rPr>
        <w:t>bio-processing</w:t>
      </w:r>
      <w:proofErr w:type="gramEnd"/>
      <w:r>
        <w:rPr>
          <w:color w:val="000000"/>
        </w:rPr>
        <w:t xml:space="preserve"> (isolation, expansion, cultivation in bioreactors), processing of the conditioned media, the extraction of the </w:t>
      </w:r>
      <w:proofErr w:type="spellStart"/>
      <w:r>
        <w:rPr>
          <w:color w:val="000000"/>
        </w:rPr>
        <w:t>secretome</w:t>
      </w:r>
      <w:proofErr w:type="spellEnd"/>
      <w:r>
        <w:rPr>
          <w:color w:val="000000"/>
        </w:rPr>
        <w:t xml:space="preserve"> or its components (isolation, purification, storage) and its/their delivery to target site (mode of administration, final formulation).</w:t>
      </w:r>
    </w:p>
    <w:p w14:paraId="0E473489" w14:textId="77777777" w:rsidR="00056AEE" w:rsidRDefault="00A00CB7" w:rsidP="003A38F8">
      <w:pPr>
        <w:pStyle w:val="Paragraphedeliste"/>
        <w:numPr>
          <w:ilvl w:val="0"/>
          <w:numId w:val="45"/>
        </w:numPr>
      </w:pPr>
      <w:r>
        <w:rPr>
          <w:color w:val="000000"/>
        </w:rPr>
        <w:t>Definition of relevant quality criteria for and establishment of a fully GMP-conform</w:t>
      </w:r>
      <w:r>
        <w:rPr>
          <w:vertAlign w:val="superscript"/>
        </w:rPr>
        <w:footnoteReference w:id="140"/>
      </w:r>
      <w:r>
        <w:rPr>
          <w:color w:val="000000"/>
        </w:rPr>
        <w:t xml:space="preserve"> production process that enables to carry out clinical trials of the proposed </w:t>
      </w:r>
      <w:proofErr w:type="spellStart"/>
      <w:r>
        <w:rPr>
          <w:color w:val="000000"/>
        </w:rPr>
        <w:t>secretome</w:t>
      </w:r>
      <w:proofErr w:type="spellEnd"/>
      <w:r>
        <w:rPr>
          <w:color w:val="000000"/>
        </w:rPr>
        <w:t>-based therapy.</w:t>
      </w:r>
    </w:p>
    <w:p w14:paraId="5CB719D9" w14:textId="77777777" w:rsidR="00056AEE" w:rsidRDefault="00A00CB7" w:rsidP="003A38F8">
      <w:pPr>
        <w:pStyle w:val="Paragraphedeliste"/>
        <w:numPr>
          <w:ilvl w:val="0"/>
          <w:numId w:val="45"/>
        </w:numPr>
      </w:pPr>
      <w:r>
        <w:rPr>
          <w:color w:val="000000"/>
        </w:rPr>
        <w:t xml:space="preserve">Conduct of an interventional randomised controlled clinical trial comprising phase 1 and phase 2 to generate scientific evidence demonstrating safety and efficacy of the proposed </w:t>
      </w:r>
      <w:proofErr w:type="spellStart"/>
      <w:r>
        <w:rPr>
          <w:color w:val="000000"/>
        </w:rPr>
        <w:t>secretome</w:t>
      </w:r>
      <w:proofErr w:type="spellEnd"/>
      <w:r>
        <w:rPr>
          <w:color w:val="000000"/>
        </w:rPr>
        <w:t>-based therapy.</w:t>
      </w:r>
    </w:p>
    <w:p w14:paraId="77678EDE" w14:textId="77777777" w:rsidR="00056AEE" w:rsidRDefault="00A00CB7" w:rsidP="003A38F8">
      <w:pPr>
        <w:pStyle w:val="Paragraphedeliste"/>
        <w:numPr>
          <w:ilvl w:val="0"/>
          <w:numId w:val="45"/>
        </w:numPr>
      </w:pPr>
      <w:r>
        <w:rPr>
          <w:color w:val="000000"/>
        </w:rPr>
        <w:t xml:space="preserve">All these activities should be performed in close interaction with and in compliance with all requirements of the relevant competent authorities, thus ensuring regulatory approval of the proposed </w:t>
      </w:r>
      <w:proofErr w:type="spellStart"/>
      <w:r>
        <w:rPr>
          <w:color w:val="000000"/>
        </w:rPr>
        <w:t>secretome</w:t>
      </w:r>
      <w:proofErr w:type="spellEnd"/>
      <w:r>
        <w:rPr>
          <w:color w:val="000000"/>
        </w:rPr>
        <w:t>-based therapy. In that context applicants should provide a sound timeline on the trial protocol and a delivery date for the approval from the regulatory body at the latest 12 months after the start of the project.</w:t>
      </w:r>
    </w:p>
    <w:p w14:paraId="5AE0D036" w14:textId="77777777" w:rsidR="00056AEE" w:rsidRDefault="00A00CB7" w:rsidP="003A38F8">
      <w:pPr>
        <w:pStyle w:val="Paragraphedeliste"/>
        <w:numPr>
          <w:ilvl w:val="0"/>
          <w:numId w:val="45"/>
        </w:numPr>
      </w:pPr>
      <w:r>
        <w:rPr>
          <w:color w:val="000000"/>
        </w:rPr>
        <w:t xml:space="preserve"> </w:t>
      </w:r>
      <w:r>
        <w:rPr>
          <w:color w:val="000000"/>
        </w:rPr>
        <w:cr/>
        <w:t xml:space="preserve">Optionally and if essential for the chosen </w:t>
      </w:r>
      <w:proofErr w:type="spellStart"/>
      <w:r>
        <w:rPr>
          <w:color w:val="000000"/>
        </w:rPr>
        <w:t>secretome</w:t>
      </w:r>
      <w:proofErr w:type="spellEnd"/>
      <w:r>
        <w:rPr>
          <w:color w:val="000000"/>
        </w:rPr>
        <w:t xml:space="preserve">-based therapy, the work should also include an engineering step of the </w:t>
      </w:r>
      <w:proofErr w:type="spellStart"/>
      <w:r>
        <w:rPr>
          <w:color w:val="000000"/>
        </w:rPr>
        <w:t>secretome</w:t>
      </w:r>
      <w:proofErr w:type="spellEnd"/>
      <w:r>
        <w:rPr>
          <w:color w:val="000000"/>
        </w:rPr>
        <w:t xml:space="preserve"> to achieve the desired profile for increased safety and improved therapeutic effect. To this end, the </w:t>
      </w:r>
      <w:proofErr w:type="spellStart"/>
      <w:r>
        <w:rPr>
          <w:color w:val="000000"/>
        </w:rPr>
        <w:t>secretome</w:t>
      </w:r>
      <w:proofErr w:type="spellEnd"/>
      <w:r>
        <w:rPr>
          <w:color w:val="000000"/>
        </w:rPr>
        <w:t xml:space="preserve"> or its bioactive component(s) may be modified either pre- or post-biogenesis. This is to be accomplished by use of classical methods on the parent cells (like e.g.: biochemical or physical stimuli), except their genetic modification, or by </w:t>
      </w:r>
      <w:proofErr w:type="spellStart"/>
      <w:r>
        <w:rPr>
          <w:color w:val="000000"/>
        </w:rPr>
        <w:t>physico</w:t>
      </w:r>
      <w:proofErr w:type="spellEnd"/>
      <w:r>
        <w:rPr>
          <w:color w:val="000000"/>
        </w:rPr>
        <w:t xml:space="preserve">-chemical modification of the bio-active </w:t>
      </w:r>
      <w:proofErr w:type="spellStart"/>
      <w:r>
        <w:rPr>
          <w:color w:val="000000"/>
        </w:rPr>
        <w:t>secretome</w:t>
      </w:r>
      <w:proofErr w:type="spellEnd"/>
      <w:r>
        <w:rPr>
          <w:color w:val="000000"/>
        </w:rPr>
        <w:t xml:space="preserve"> component (like e.g.: surface functionalisation techniques or matrix-based approaches). The effected modifications of the </w:t>
      </w:r>
      <w:proofErr w:type="spellStart"/>
      <w:r>
        <w:rPr>
          <w:color w:val="000000"/>
        </w:rPr>
        <w:t>secretome</w:t>
      </w:r>
      <w:proofErr w:type="spellEnd"/>
      <w:r>
        <w:rPr>
          <w:color w:val="000000"/>
        </w:rPr>
        <w:t xml:space="preserve"> should lead to the improvement of its functional properties/features (e.g.: anti-apoptotic, pro-angiogenic, immunomodulatory, etc.) and/or the increased homing capacity for the bioactive </w:t>
      </w:r>
      <w:proofErr w:type="spellStart"/>
      <w:r>
        <w:rPr>
          <w:color w:val="000000"/>
        </w:rPr>
        <w:t>secretome</w:t>
      </w:r>
      <w:proofErr w:type="spellEnd"/>
      <w:r>
        <w:rPr>
          <w:color w:val="000000"/>
        </w:rPr>
        <w:t xml:space="preserve"> component. All these modifications should not alter the main mechanism of action and retain the proposed </w:t>
      </w:r>
      <w:proofErr w:type="spellStart"/>
      <w:r>
        <w:rPr>
          <w:color w:val="000000"/>
        </w:rPr>
        <w:t>secretome</w:t>
      </w:r>
      <w:proofErr w:type="spellEnd"/>
      <w:r>
        <w:rPr>
          <w:color w:val="000000"/>
        </w:rPr>
        <w:t>-based therapy within the boundaries of substances of human origin</w:t>
      </w:r>
      <w:r>
        <w:rPr>
          <w:vertAlign w:val="superscript"/>
        </w:rPr>
        <w:footnoteReference w:id="141"/>
      </w:r>
      <w:r>
        <w:rPr>
          <w:color w:val="000000"/>
        </w:rPr>
        <w:t xml:space="preserve">. The therapeutic effect of the </w:t>
      </w:r>
      <w:proofErr w:type="spellStart"/>
      <w:r>
        <w:rPr>
          <w:color w:val="000000"/>
        </w:rPr>
        <w:t>secretome</w:t>
      </w:r>
      <w:proofErr w:type="spellEnd"/>
      <w:r>
        <w:rPr>
          <w:color w:val="000000"/>
        </w:rPr>
        <w:t xml:space="preserve"> or </w:t>
      </w:r>
      <w:r>
        <w:rPr>
          <w:color w:val="000000"/>
        </w:rPr>
        <w:lastRenderedPageBreak/>
        <w:t xml:space="preserve">its components should come from their endogenous capabilities and functionalities; exogenous loading with drugs, be it pre- or post-biogenesis, is not in scope.  </w:t>
      </w:r>
    </w:p>
    <w:p w14:paraId="7DA0814E" w14:textId="77777777" w:rsidR="00056AEE" w:rsidRDefault="00A00CB7">
      <w:r>
        <w:rPr>
          <w:color w:val="000000"/>
        </w:rPr>
        <w:t>All types of diseases, dysfunctions or health impairments may be targeted, preference should be given to conditions that affect larger patient populations and/or represent a high burden on public health systems.</w:t>
      </w:r>
    </w:p>
    <w:p w14:paraId="118D7770" w14:textId="77777777" w:rsidR="00056AEE" w:rsidRDefault="00A00CB7">
      <w:r>
        <w:rPr>
          <w:color w:val="000000"/>
        </w:rPr>
        <w:t>Sex differences stemming from the parent cells should be taken into consideration. Participation of small and medium-size enterprises (SMEs) is strongly encouraged.</w:t>
      </w:r>
    </w:p>
    <w:p w14:paraId="7B2BBEF4" w14:textId="77777777" w:rsidR="00056AEE" w:rsidRDefault="00A00CB7">
      <w:r>
        <w:rPr>
          <w:color w:val="000000"/>
        </w:rPr>
        <w:t>Proposals should consider the involvement of the European Commission's Joint Research Centre (JRC) as a potential interface between research activities and pre-normative regulatory science and in relation to the potential validation of test methods fit for regulatory purpose. In that respect, the JRC will consider collaborating with any successful proposal and this collaboration, when relevant, should be established after the proposal’s approval.</w:t>
      </w:r>
    </w:p>
    <w:p w14:paraId="58498A7B"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185263A2" w14:textId="77777777" w:rsidR="00056AEE" w:rsidRDefault="00A00CB7">
      <w:pPr>
        <w:pStyle w:val="HeadingThree"/>
      </w:pPr>
      <w:bookmarkStart w:id="28" w:name="_Toc171689875"/>
      <w:r>
        <w:t>HORIZON-HLTH-2025-01-TOOL-03: Leveraging multimodal data to advance Generative Artificial Intelligence applicability in biomedical research (GenAI4EU)</w:t>
      </w:r>
      <w:bookmarkEnd w:id="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1"/>
        <w:gridCol w:w="7111"/>
      </w:tblGrid>
      <w:tr w:rsidR="003A38F8" w14:paraId="18072D91" w14:textId="77777777" w:rsidTr="003A38F8">
        <w:tc>
          <w:tcPr>
            <w:tcW w:w="0" w:type="auto"/>
            <w:gridSpan w:val="2"/>
          </w:tcPr>
          <w:p w14:paraId="2BC4F440" w14:textId="77777777" w:rsidR="00056AEE" w:rsidRDefault="00A00CB7">
            <w:pPr>
              <w:pStyle w:val="CellTextValue"/>
            </w:pPr>
            <w:r>
              <w:rPr>
                <w:b/>
              </w:rPr>
              <w:t>Call: Cluster 1 - Health (Single stage - 2025)</w:t>
            </w:r>
          </w:p>
        </w:tc>
      </w:tr>
      <w:tr w:rsidR="003A38F8" w14:paraId="6695411F" w14:textId="77777777" w:rsidTr="003A38F8">
        <w:tc>
          <w:tcPr>
            <w:tcW w:w="0" w:type="auto"/>
            <w:gridSpan w:val="2"/>
          </w:tcPr>
          <w:p w14:paraId="666BCA26" w14:textId="77777777" w:rsidR="00056AEE" w:rsidRDefault="00A00CB7">
            <w:pPr>
              <w:pStyle w:val="CellTextValue"/>
            </w:pPr>
            <w:r>
              <w:rPr>
                <w:b/>
              </w:rPr>
              <w:t>Specific conditions</w:t>
            </w:r>
          </w:p>
        </w:tc>
      </w:tr>
      <w:tr w:rsidR="00056AEE" w14:paraId="68E06C5E" w14:textId="77777777">
        <w:tc>
          <w:tcPr>
            <w:tcW w:w="0" w:type="auto"/>
          </w:tcPr>
          <w:p w14:paraId="06F01F7A" w14:textId="77777777" w:rsidR="00056AEE" w:rsidRDefault="00A00CB7">
            <w:pPr>
              <w:pStyle w:val="CellTextValue"/>
              <w:jc w:val="left"/>
            </w:pPr>
            <w:r>
              <w:rPr>
                <w:i/>
              </w:rPr>
              <w:t>Expected EU contribution per project</w:t>
            </w:r>
          </w:p>
        </w:tc>
        <w:tc>
          <w:tcPr>
            <w:tcW w:w="0" w:type="auto"/>
          </w:tcPr>
          <w:p w14:paraId="44F43D4C" w14:textId="77777777" w:rsidR="00056AEE" w:rsidRDefault="00A00CB7">
            <w:pPr>
              <w:pStyle w:val="CellTextValue"/>
            </w:pPr>
            <w:r>
              <w:t>The Commission estimates that an EU contribution of between EUR 15.00 and 17.00 million would allow these outcomes to be addressed appropriately. Nonetheless, this does not preclude submission and selection of a proposal requesting different amounts.</w:t>
            </w:r>
          </w:p>
        </w:tc>
      </w:tr>
      <w:tr w:rsidR="00056AEE" w14:paraId="0BEED3DE" w14:textId="77777777">
        <w:tc>
          <w:tcPr>
            <w:tcW w:w="0" w:type="auto"/>
          </w:tcPr>
          <w:p w14:paraId="04AA313D" w14:textId="77777777" w:rsidR="00056AEE" w:rsidRDefault="00A00CB7">
            <w:pPr>
              <w:pStyle w:val="CellTextValue"/>
              <w:jc w:val="left"/>
            </w:pPr>
            <w:r>
              <w:rPr>
                <w:i/>
              </w:rPr>
              <w:t>Indicative budget</w:t>
            </w:r>
          </w:p>
        </w:tc>
        <w:tc>
          <w:tcPr>
            <w:tcW w:w="0" w:type="auto"/>
          </w:tcPr>
          <w:p w14:paraId="102F9188" w14:textId="77777777" w:rsidR="00056AEE" w:rsidRDefault="00A00CB7">
            <w:pPr>
              <w:pStyle w:val="CellTextValue"/>
            </w:pPr>
            <w:r>
              <w:t>The total indicative budget for the topic is EUR 50.00 million.</w:t>
            </w:r>
          </w:p>
        </w:tc>
      </w:tr>
      <w:tr w:rsidR="00056AEE" w14:paraId="1620C5AE" w14:textId="77777777">
        <w:tc>
          <w:tcPr>
            <w:tcW w:w="0" w:type="auto"/>
          </w:tcPr>
          <w:p w14:paraId="6442ADBC" w14:textId="77777777" w:rsidR="00056AEE" w:rsidRDefault="00A00CB7">
            <w:pPr>
              <w:pStyle w:val="CellTextValue"/>
              <w:jc w:val="left"/>
            </w:pPr>
            <w:r>
              <w:rPr>
                <w:i/>
              </w:rPr>
              <w:t>Type of Action</w:t>
            </w:r>
          </w:p>
        </w:tc>
        <w:tc>
          <w:tcPr>
            <w:tcW w:w="0" w:type="auto"/>
          </w:tcPr>
          <w:p w14:paraId="6D0FE713" w14:textId="77777777" w:rsidR="00056AEE" w:rsidRDefault="00A00CB7">
            <w:pPr>
              <w:pStyle w:val="CellTextValue"/>
            </w:pPr>
            <w:r>
              <w:rPr>
                <w:color w:val="000000"/>
              </w:rPr>
              <w:t>Research and Innovation Actions</w:t>
            </w:r>
          </w:p>
        </w:tc>
      </w:tr>
      <w:tr w:rsidR="00056AEE" w14:paraId="3187DE90" w14:textId="77777777">
        <w:tc>
          <w:tcPr>
            <w:tcW w:w="0" w:type="auto"/>
          </w:tcPr>
          <w:p w14:paraId="024C6EC5" w14:textId="77777777" w:rsidR="00056AEE" w:rsidRDefault="00A00CB7">
            <w:pPr>
              <w:pStyle w:val="CellTextValue"/>
              <w:jc w:val="left"/>
            </w:pPr>
            <w:r>
              <w:rPr>
                <w:i/>
              </w:rPr>
              <w:t>Eligibility conditions</w:t>
            </w:r>
          </w:p>
        </w:tc>
        <w:tc>
          <w:tcPr>
            <w:tcW w:w="0" w:type="auto"/>
          </w:tcPr>
          <w:p w14:paraId="494224C7" w14:textId="77777777" w:rsidR="00056AEE" w:rsidRDefault="00A00CB7">
            <w:pPr>
              <w:pStyle w:val="CellTextValue"/>
            </w:pPr>
            <w:r>
              <w:rPr>
                <w:color w:val="000000"/>
              </w:rPr>
              <w:t>The conditions are described in General Annex B. The following exceptions apply:</w:t>
            </w:r>
          </w:p>
          <w:p w14:paraId="0989BC64"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40D077F"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2E54B56" w14:textId="77777777" w:rsidR="00056AEE" w:rsidRDefault="00A00CB7">
            <w:pPr>
              <w:pStyle w:val="CellTextValue"/>
            </w:pPr>
            <w:r>
              <w:rPr>
                <w:color w:val="000000"/>
              </w:rPr>
              <w:t xml:space="preserve">The Joint Research Centre (JRC) may participate as member of the </w:t>
            </w:r>
            <w:r>
              <w:rPr>
                <w:color w:val="000000"/>
              </w:rPr>
              <w:lastRenderedPageBreak/>
              <w:t>consortium selected for funding.</w:t>
            </w:r>
          </w:p>
        </w:tc>
      </w:tr>
      <w:tr w:rsidR="00056AEE" w14:paraId="56CB13E4" w14:textId="77777777">
        <w:tc>
          <w:tcPr>
            <w:tcW w:w="0" w:type="auto"/>
          </w:tcPr>
          <w:p w14:paraId="4471F642" w14:textId="77777777" w:rsidR="00056AEE" w:rsidRDefault="00A00CB7">
            <w:pPr>
              <w:pStyle w:val="CellTextValue"/>
              <w:jc w:val="left"/>
            </w:pPr>
            <w:r>
              <w:rPr>
                <w:i/>
              </w:rPr>
              <w:lastRenderedPageBreak/>
              <w:t>Award criteria</w:t>
            </w:r>
          </w:p>
        </w:tc>
        <w:tc>
          <w:tcPr>
            <w:tcW w:w="0" w:type="auto"/>
          </w:tcPr>
          <w:p w14:paraId="63011871" w14:textId="77777777" w:rsidR="00056AEE" w:rsidRDefault="00A00CB7">
            <w:pPr>
              <w:pStyle w:val="CellTextValue"/>
            </w:pPr>
            <w:r>
              <w:rPr>
                <w:color w:val="000000"/>
              </w:rPr>
              <w:t>The criteria are described in General Annex D. The following exceptions apply:</w:t>
            </w:r>
          </w:p>
          <w:p w14:paraId="3C13986B" w14:textId="77777777" w:rsidR="00056AEE" w:rsidRDefault="00A00CB7">
            <w:pPr>
              <w:pStyle w:val="CellTextValue"/>
            </w:pPr>
            <w:r>
              <w:rPr>
                <w:color w:val="000000"/>
              </w:rPr>
              <w:t>The thresholds for each criterion will be 4 (Excellence), 4 (Impact) and 4 (Implementation). The cumulative threshold will be 12.</w:t>
            </w:r>
          </w:p>
        </w:tc>
      </w:tr>
    </w:tbl>
    <w:p w14:paraId="47C6F58F" w14:textId="77777777" w:rsidR="00056AEE" w:rsidRDefault="00056AEE">
      <w:pPr>
        <w:spacing w:after="0" w:line="150" w:lineRule="auto"/>
      </w:pPr>
    </w:p>
    <w:p w14:paraId="36C73FB9"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directed towards and contributing to all the following expected outcomes:</w:t>
      </w:r>
    </w:p>
    <w:p w14:paraId="14E46EB5" w14:textId="77777777" w:rsidR="00056AEE" w:rsidRDefault="00A00CB7" w:rsidP="003A38F8">
      <w:pPr>
        <w:pStyle w:val="Paragraphedeliste"/>
        <w:numPr>
          <w:ilvl w:val="0"/>
          <w:numId w:val="46"/>
        </w:numPr>
      </w:pPr>
      <w:r>
        <w:rPr>
          <w:color w:val="000000"/>
        </w:rPr>
        <w:t>Researchers, including clinical researchers, have access to robust, trustworthy and ethical Generative Artificial Intelligence (AI) models able to effectively advance biomedical research towards predictive and personalised medicine.</w:t>
      </w:r>
    </w:p>
    <w:p w14:paraId="1A77C8B5" w14:textId="77777777" w:rsidR="00056AEE" w:rsidRDefault="00A00CB7" w:rsidP="003A38F8">
      <w:pPr>
        <w:pStyle w:val="Paragraphedeliste"/>
        <w:numPr>
          <w:ilvl w:val="0"/>
          <w:numId w:val="46"/>
        </w:numPr>
      </w:pPr>
      <w:r>
        <w:rPr>
          <w:color w:val="000000"/>
        </w:rPr>
        <w:t xml:space="preserve">Researchers, including clinical researchers, know how to use Generative AI models to synthesise the available scientific information and large-scale multimodal data and how to apply precautions when interpreting results of these models, </w:t>
      </w:r>
      <w:proofErr w:type="gramStart"/>
      <w:r>
        <w:rPr>
          <w:color w:val="000000"/>
        </w:rPr>
        <w:t>in order to</w:t>
      </w:r>
      <w:proofErr w:type="gramEnd"/>
      <w:r>
        <w:rPr>
          <w:color w:val="000000"/>
        </w:rPr>
        <w:t xml:space="preserve"> deliver new knowledge and breakthrough scientific discoveries.</w:t>
      </w:r>
    </w:p>
    <w:p w14:paraId="005B8F04" w14:textId="77777777" w:rsidR="00056AEE" w:rsidRDefault="00A00CB7" w:rsidP="003A38F8">
      <w:pPr>
        <w:pStyle w:val="Paragraphedeliste"/>
        <w:numPr>
          <w:ilvl w:val="0"/>
          <w:numId w:val="46"/>
        </w:numPr>
      </w:pPr>
      <w:r>
        <w:rPr>
          <w:color w:val="000000"/>
        </w:rPr>
        <w:t xml:space="preserve">Research community benefits from the availability of advanced methodologies to assess the validity and further application of accurate, transparent, traceable, and explainable Generative AI models. </w:t>
      </w:r>
    </w:p>
    <w:p w14:paraId="538A35F6" w14:textId="77777777" w:rsidR="00056AEE" w:rsidRDefault="00A00CB7">
      <w:r>
        <w:rPr>
          <w:u w:val="single"/>
        </w:rPr>
        <w:t>Scope</w:t>
      </w:r>
      <w:r>
        <w:t xml:space="preserve">: </w:t>
      </w:r>
      <w:r>
        <w:rPr>
          <w:color w:val="000000"/>
        </w:rPr>
        <w:t>The availability of large-scale multimodal health data, scientific information, and novel Generative AI models, combined with the available high-performance computing capacities offer an unprecedented opportunity for researchers to significantly enhance the quality and speed of biomedical research. For instance, the use of large multimodal datasets and Generative AI models can allow for better understanding of disease development and lead to new predictive models for disease management, more personalised treatment solutions and further personalisation of care pathways. The European Commission recognises this potential and considers health research and healthcare, among the priority sectors for building the Union’s strategic leadership [</w:t>
      </w:r>
      <w:proofErr w:type="gramStart"/>
      <w:r>
        <w:rPr>
          <w:color w:val="000000"/>
        </w:rPr>
        <w:t>COM(</w:t>
      </w:r>
      <w:proofErr w:type="gramEnd"/>
      <w:r>
        <w:rPr>
          <w:color w:val="000000"/>
        </w:rPr>
        <w:t>2024) 28 final].</w:t>
      </w:r>
    </w:p>
    <w:p w14:paraId="78451055" w14:textId="77777777" w:rsidR="00056AEE" w:rsidRDefault="00A00CB7">
      <w:r>
        <w:rPr>
          <w:color w:val="000000"/>
        </w:rPr>
        <w:t>This topic will contribute to advancing research and providing new evidence on how Generative AI models contribute to and support biomedical research and its applicability towards more predictive and personalised medicine, while also defining use conditions, usability requirements and training needs of the researchers. It aims to generate research to cover existing gaps of Generative AI models and their application in biomedical research, addressing both capabilities and existing limitations.</w:t>
      </w:r>
    </w:p>
    <w:p w14:paraId="0C907FAC" w14:textId="77777777" w:rsidR="00056AEE" w:rsidRDefault="00A00CB7">
      <w:r>
        <w:rPr>
          <w:color w:val="000000"/>
        </w:rPr>
        <w:t>Research actions under this topic should include all the following activities:</w:t>
      </w:r>
    </w:p>
    <w:p w14:paraId="1E7EA774" w14:textId="77777777" w:rsidR="00056AEE" w:rsidRDefault="00A00CB7" w:rsidP="003A38F8">
      <w:pPr>
        <w:pStyle w:val="Paragraphedeliste"/>
        <w:numPr>
          <w:ilvl w:val="0"/>
          <w:numId w:val="47"/>
        </w:numPr>
      </w:pPr>
      <w:r>
        <w:rPr>
          <w:color w:val="000000"/>
        </w:rPr>
        <w:lastRenderedPageBreak/>
        <w:t>Develop new or re-purpose existing Generative AI models for biomedical research across various medical fields and/or therapeutic indications. The models should be robust, based on the use of large-scale, complex, and multimodal high-quality data (real and/or synthetic data), such as but not limited to medical imaging, genomics, proteomics, other molecular data, electronic health records, laboratory results, unstructured health data and/or available scientific and public information relevant to biomedical research. The applicants may choose any type of available large-scale biomedical data and/or their combinations and justify their relevance for training and optimisation of the Generative AI tools.</w:t>
      </w:r>
    </w:p>
    <w:p w14:paraId="7BEAC8EE" w14:textId="77777777" w:rsidR="00056AEE" w:rsidRDefault="00A00CB7" w:rsidP="003A38F8">
      <w:pPr>
        <w:pStyle w:val="Paragraphedeliste"/>
        <w:numPr>
          <w:ilvl w:val="0"/>
          <w:numId w:val="47"/>
        </w:numPr>
      </w:pPr>
      <w:r>
        <w:rPr>
          <w:color w:val="000000"/>
        </w:rPr>
        <w:t>Develop a proof of concept with at least two use cases relevant for predictive and personalised medicine in different medical fields to demonstrate the scientific and/or potential future clinical utility of the Generative AI models in biomedical research and showcase their relative effectiveness in comparison to the currently used methods and approaches. The applicants should actively engage end users, for example researchers and other relevant stakeholders in the development, adaptation and testing of the new/repurposed Generative AI models.</w:t>
      </w:r>
    </w:p>
    <w:p w14:paraId="792B50B6" w14:textId="77777777" w:rsidR="00056AEE" w:rsidRDefault="00A00CB7" w:rsidP="003A38F8">
      <w:pPr>
        <w:pStyle w:val="Paragraphedeliste"/>
        <w:numPr>
          <w:ilvl w:val="0"/>
          <w:numId w:val="47"/>
        </w:numPr>
      </w:pPr>
      <w:r>
        <w:rPr>
          <w:color w:val="000000"/>
        </w:rPr>
        <w:t xml:space="preserve">Develop or revise existing methodologies to assess applicability, limitations, and performance of the developed and/or repurposed Generative AI models to demonstrate their added value in biomedical research. The methodologies developed under this action should demonstrate the technical, scientific, and potential future clinical utility, robustness and trustworthiness of the newly developed or repurposed Generative AI models, in particular:        </w:t>
      </w:r>
    </w:p>
    <w:p w14:paraId="0DC458DF" w14:textId="77777777" w:rsidR="00056AEE" w:rsidRDefault="00A00CB7" w:rsidP="003A38F8">
      <w:pPr>
        <w:pStyle w:val="Paragraphedeliste"/>
        <w:numPr>
          <w:ilvl w:val="1"/>
          <w:numId w:val="47"/>
        </w:numPr>
      </w:pPr>
      <w:r>
        <w:rPr>
          <w:color w:val="000000"/>
        </w:rPr>
        <w:t xml:space="preserve">Appropriate performance metrics for continuous evaluation and testing of scientific and technical robustness and relevance of the Generative AI models.   </w:t>
      </w:r>
    </w:p>
    <w:p w14:paraId="40921524" w14:textId="77777777" w:rsidR="00056AEE" w:rsidRDefault="00A00CB7" w:rsidP="003A38F8">
      <w:pPr>
        <w:pStyle w:val="Paragraphedeliste"/>
        <w:numPr>
          <w:ilvl w:val="1"/>
          <w:numId w:val="47"/>
        </w:numPr>
      </w:pPr>
      <w:r>
        <w:rPr>
          <w:color w:val="000000"/>
        </w:rPr>
        <w:t>Appropriate metrics for model intelligibility, robustness, alignment with ethical principles and approaches for ethical evaluation in view of AI trustworthiness</w:t>
      </w:r>
      <w:r>
        <w:rPr>
          <w:vertAlign w:val="superscript"/>
        </w:rPr>
        <w:footnoteReference w:id="142"/>
      </w:r>
      <w:r>
        <w:rPr>
          <w:color w:val="000000"/>
        </w:rPr>
        <w:t xml:space="preserve">.   </w:t>
      </w:r>
    </w:p>
    <w:p w14:paraId="3F41CD69" w14:textId="77777777" w:rsidR="00056AEE" w:rsidRDefault="00A00CB7" w:rsidP="003A38F8">
      <w:pPr>
        <w:pStyle w:val="Paragraphedeliste"/>
        <w:numPr>
          <w:ilvl w:val="1"/>
          <w:numId w:val="47"/>
        </w:numPr>
      </w:pPr>
      <w:r>
        <w:rPr>
          <w:color w:val="000000"/>
        </w:rPr>
        <w:t>Appropriate solutions to identify and mitigate potential bias and confounding</w:t>
      </w:r>
      <w:r>
        <w:rPr>
          <w:vertAlign w:val="superscript"/>
        </w:rPr>
        <w:footnoteReference w:id="143"/>
      </w:r>
      <w:r>
        <w:rPr>
          <w:color w:val="000000"/>
        </w:rPr>
        <w:t xml:space="preserve"> of the Generative AI models and include examples from different perspectives (e.g., representativeness of the data, bias of the trainer, bias of training and validation data, algorithmic bias, gender bias etc.).   </w:t>
      </w:r>
    </w:p>
    <w:p w14:paraId="5A720BFC" w14:textId="77777777" w:rsidR="00056AEE" w:rsidRDefault="00A00CB7" w:rsidP="003A38F8">
      <w:pPr>
        <w:pStyle w:val="Paragraphedeliste"/>
        <w:numPr>
          <w:ilvl w:val="1"/>
          <w:numId w:val="47"/>
        </w:numPr>
      </w:pPr>
      <w:r>
        <w:rPr>
          <w:color w:val="000000"/>
        </w:rPr>
        <w:t xml:space="preserve">ELSI (Ethical, legal, and societal implications) - methods to systematically address and assess ELSI aspects, including data privacy concerns, risk of discrimination bias and/or discrimination (sex/gender, age, disability, ethnicity, minority and/or vulnerable groups, including disadvantaged groups).   </w:t>
      </w:r>
    </w:p>
    <w:p w14:paraId="6442B064" w14:textId="77777777" w:rsidR="00056AEE" w:rsidRDefault="00A00CB7" w:rsidP="003A38F8">
      <w:pPr>
        <w:pStyle w:val="Paragraphedeliste"/>
        <w:numPr>
          <w:ilvl w:val="1"/>
          <w:numId w:val="47"/>
        </w:numPr>
      </w:pPr>
      <w:r>
        <w:rPr>
          <w:color w:val="000000"/>
        </w:rPr>
        <w:lastRenderedPageBreak/>
        <w:t xml:space="preserve">Appropriate techniques to discover cause-and-effect relationships and explainability of the model reasoning </w:t>
      </w:r>
      <w:proofErr w:type="gramStart"/>
      <w:r>
        <w:rPr>
          <w:color w:val="000000"/>
        </w:rPr>
        <w:t>in order to</w:t>
      </w:r>
      <w:proofErr w:type="gramEnd"/>
      <w:r>
        <w:rPr>
          <w:color w:val="000000"/>
        </w:rPr>
        <w:t xml:space="preserve"> increase users’ trust. With causal understanding mechanisms it is possible to predict internal processes of the Generative AI model, addressing the black box element, increasing transparency and model explainability.  </w:t>
      </w:r>
    </w:p>
    <w:p w14:paraId="6D75D11B" w14:textId="77777777" w:rsidR="00056AEE" w:rsidRDefault="00A00CB7">
      <w:r>
        <w:rPr>
          <w:color w:val="000000"/>
        </w:rPr>
        <w:t>All proposals should demonstrate EU added value by focusing on the development and/or use of trustworthy Generative AI models developed in the EU and Associated countries, involving in the consortium EU industrial developers of Generative AI solutions, including leading-edge startups when possible. An open-source approach Generative AI is encouraged when technically and economically feasible.</w:t>
      </w:r>
    </w:p>
    <w:p w14:paraId="5BE3DE69" w14:textId="77777777" w:rsidR="00056AEE" w:rsidRDefault="00A00CB7">
      <w:r>
        <w:rPr>
          <w:color w:val="000000"/>
        </w:rPr>
        <w:t>The proposals should adhere to the FAIR</w:t>
      </w:r>
      <w:r>
        <w:rPr>
          <w:vertAlign w:val="superscript"/>
        </w:rPr>
        <w:footnoteReference w:id="144"/>
      </w:r>
      <w:r>
        <w:rPr>
          <w:color w:val="000000"/>
        </w:rPr>
        <w:t xml:space="preserve"> data</w:t>
      </w:r>
      <w:r>
        <w:rPr>
          <w:color w:val="000000"/>
          <w:vertAlign w:val="superscript"/>
        </w:rPr>
        <w:t xml:space="preserve"> </w:t>
      </w:r>
      <w:r>
        <w:rPr>
          <w:color w:val="000000"/>
        </w:rPr>
        <w:t>principles and GDPR</w:t>
      </w:r>
      <w:r>
        <w:rPr>
          <w:vertAlign w:val="superscript"/>
        </w:rPr>
        <w:footnoteReference w:id="145"/>
      </w:r>
      <w:r>
        <w:rPr>
          <w:color w:val="000000"/>
        </w:rPr>
        <w:t xml:space="preserve"> compliant processes for personal data protection based on good practices developed by the European research infrastructures, if relevant. The proposals should promote the highest standards of transparency and openness of models, as much as possible going well beyond documentation and extending to aspects such as assumptions, code and data that is managed in compliance with the FAIR principles.</w:t>
      </w:r>
    </w:p>
    <w:p w14:paraId="4FD847AC" w14:textId="77777777" w:rsidR="00056AEE" w:rsidRDefault="00A00CB7">
      <w:r>
        <w:rPr>
          <w:color w:val="000000"/>
        </w:rPr>
        <w:t>When the use cases are relevant to diseases covered by Horizon Europe Partnerships or missions (e.g., the European Partnership on Rare Diseases, the Cancer Mission, etc.), the proposals should leverage the knowledge platforms / federated data access infrastructures already developed, such as the Virtual Platform of the European Joint Programme of Rare Diseases</w:t>
      </w:r>
      <w:r>
        <w:rPr>
          <w:vertAlign w:val="superscript"/>
        </w:rPr>
        <w:footnoteReference w:id="146"/>
      </w:r>
      <w:r>
        <w:rPr>
          <w:color w:val="000000"/>
        </w:rPr>
        <w:t xml:space="preserve"> etc. Moreover, the applicants are encouraged to leverage available and emerging European data infrastructures (e.g., the European Health Data Space</w:t>
      </w:r>
      <w:r>
        <w:rPr>
          <w:vertAlign w:val="superscript"/>
        </w:rPr>
        <w:footnoteReference w:id="147"/>
      </w:r>
      <w:r>
        <w:rPr>
          <w:color w:val="000000"/>
        </w:rPr>
        <w:t>, European Genomic Data Infrastructure</w:t>
      </w:r>
      <w:r>
        <w:rPr>
          <w:vertAlign w:val="superscript"/>
        </w:rPr>
        <w:footnoteReference w:id="148"/>
      </w:r>
      <w:r>
        <w:rPr>
          <w:color w:val="000000"/>
        </w:rPr>
        <w:t>, Cancer Image Europe</w:t>
      </w:r>
      <w:r>
        <w:rPr>
          <w:vertAlign w:val="superscript"/>
        </w:rPr>
        <w:footnoteReference w:id="149"/>
      </w:r>
      <w:r>
        <w:rPr>
          <w:color w:val="000000"/>
        </w:rPr>
        <w:t>, European Open Science Cloud</w:t>
      </w:r>
      <w:r>
        <w:rPr>
          <w:vertAlign w:val="superscript"/>
        </w:rPr>
        <w:footnoteReference w:id="150"/>
      </w:r>
      <w:r>
        <w:rPr>
          <w:color w:val="000000"/>
        </w:rPr>
        <w:t>, EBRAINS</w:t>
      </w:r>
      <w:r>
        <w:rPr>
          <w:vertAlign w:val="superscript"/>
        </w:rPr>
        <w:footnoteReference w:id="151"/>
      </w:r>
      <w:r>
        <w:rPr>
          <w:color w:val="000000"/>
        </w:rPr>
        <w:t xml:space="preserve"> etc.), whenever relevant. In addition, adopting European Open Science Cloud recommendations and services for high-quality software is also encouraged, if applicable. The creation and expansion of health data and/or AI infrastructures or large-data curation initiatives, existing or under development, are not in the scope of this topic.</w:t>
      </w:r>
    </w:p>
    <w:p w14:paraId="3742700B" w14:textId="77777777" w:rsidR="00056AEE" w:rsidRDefault="00A00CB7">
      <w:r>
        <w:rPr>
          <w:color w:val="000000"/>
        </w:rPr>
        <w:t xml:space="preserve">This topic requires the effective contribution of social sciences and humanities (SSH) disciplines and the involvement of SSH experts and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0AD138AE" w14:textId="77777777" w:rsidR="00056AEE" w:rsidRDefault="00A00CB7">
      <w:r>
        <w:rPr>
          <w:color w:val="000000"/>
        </w:rPr>
        <w:lastRenderedPageBreak/>
        <w:t>Successful proposals that aim to develop new Generative AI models or to repurpose existing ones are encouraged to utilise the resources offered by the AI factories</w:t>
      </w:r>
      <w:r>
        <w:rPr>
          <w:vertAlign w:val="superscript"/>
        </w:rPr>
        <w:footnoteReference w:id="152"/>
      </w:r>
      <w:r>
        <w:rPr>
          <w:color w:val="000000"/>
        </w:rPr>
        <w:t>, when relevant and in accordance with the specific access terms and conditions.</w:t>
      </w:r>
    </w:p>
    <w:p w14:paraId="17782728" w14:textId="77777777" w:rsidR="00056AEE" w:rsidRDefault="00A00CB7">
      <w:r>
        <w:rPr>
          <w:color w:val="000000"/>
        </w:rPr>
        <w:t>Proposals should consider the involvement of the European Commission's Joint Research Centre (JRC) with respect to the value it could bring in providing an effective interface between research activities and pre-normative regulatory science as well as strategies and frameworks that address regulatory requirements. In that respect, the JRC will consider collaborating with any successful proposal and this collaboration, when relevant, should be established after the proposal’s approval.</w:t>
      </w:r>
    </w:p>
    <w:p w14:paraId="7782E8FE" w14:textId="77777777" w:rsidR="00056AEE" w:rsidRDefault="00A00CB7">
      <w:r>
        <w:rPr>
          <w:color w:val="000000"/>
        </w:rPr>
        <w:t>All proposals selected for funding under this topic are strongly encouraged to collaborate, for example by participating in networking and joint activities, exchanging of knowledge, developing, and adopting best practices, as appropriate. Therefore, proposals are expected to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p w14:paraId="743152B4"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233EBC1A" w14:textId="77777777" w:rsidR="00056AEE" w:rsidRDefault="00A00CB7">
      <w:pPr>
        <w:pStyle w:val="HeadingThree"/>
      </w:pPr>
      <w:bookmarkStart w:id="29" w:name="_Toc171689876"/>
      <w:r>
        <w:t>HORIZON-HLTH-2025-01-TOOL-05: Boosting the translation of biotech research into innovative health therapies</w:t>
      </w:r>
      <w:bookmarkEnd w:id="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23"/>
        <w:gridCol w:w="6849"/>
      </w:tblGrid>
      <w:tr w:rsidR="003A38F8" w14:paraId="09F4E330" w14:textId="77777777" w:rsidTr="003A38F8">
        <w:tc>
          <w:tcPr>
            <w:tcW w:w="0" w:type="auto"/>
            <w:gridSpan w:val="2"/>
          </w:tcPr>
          <w:p w14:paraId="38C2FCE6" w14:textId="77777777" w:rsidR="00056AEE" w:rsidRDefault="00A00CB7">
            <w:pPr>
              <w:pStyle w:val="CellTextValue"/>
            </w:pPr>
            <w:r>
              <w:rPr>
                <w:b/>
              </w:rPr>
              <w:t>Call: Cluster 1 - Health (Single stage - 2025)</w:t>
            </w:r>
          </w:p>
        </w:tc>
      </w:tr>
      <w:tr w:rsidR="003A38F8" w14:paraId="0E22D58E" w14:textId="77777777" w:rsidTr="003A38F8">
        <w:tc>
          <w:tcPr>
            <w:tcW w:w="0" w:type="auto"/>
            <w:gridSpan w:val="2"/>
          </w:tcPr>
          <w:p w14:paraId="12BC5519" w14:textId="77777777" w:rsidR="00056AEE" w:rsidRDefault="00A00CB7">
            <w:pPr>
              <w:pStyle w:val="CellTextValue"/>
            </w:pPr>
            <w:r>
              <w:rPr>
                <w:b/>
              </w:rPr>
              <w:t>Specific conditions</w:t>
            </w:r>
          </w:p>
        </w:tc>
      </w:tr>
      <w:tr w:rsidR="00056AEE" w14:paraId="2FEF1C27" w14:textId="77777777">
        <w:tc>
          <w:tcPr>
            <w:tcW w:w="0" w:type="auto"/>
          </w:tcPr>
          <w:p w14:paraId="696754B7" w14:textId="77777777" w:rsidR="00056AEE" w:rsidRDefault="00A00CB7">
            <w:pPr>
              <w:pStyle w:val="CellTextValue"/>
              <w:jc w:val="left"/>
            </w:pPr>
            <w:r>
              <w:rPr>
                <w:i/>
              </w:rPr>
              <w:t>Expected EU contribution per project</w:t>
            </w:r>
          </w:p>
        </w:tc>
        <w:tc>
          <w:tcPr>
            <w:tcW w:w="0" w:type="auto"/>
          </w:tcPr>
          <w:p w14:paraId="3C29F029" w14:textId="77777777" w:rsidR="00056AEE" w:rsidRDefault="00A00CB7">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056AEE" w14:paraId="456252FD" w14:textId="77777777">
        <w:tc>
          <w:tcPr>
            <w:tcW w:w="0" w:type="auto"/>
          </w:tcPr>
          <w:p w14:paraId="0317D40C" w14:textId="77777777" w:rsidR="00056AEE" w:rsidRDefault="00A00CB7">
            <w:pPr>
              <w:pStyle w:val="CellTextValue"/>
              <w:jc w:val="left"/>
            </w:pPr>
            <w:r>
              <w:rPr>
                <w:i/>
              </w:rPr>
              <w:t>Indicative budget</w:t>
            </w:r>
          </w:p>
        </w:tc>
        <w:tc>
          <w:tcPr>
            <w:tcW w:w="0" w:type="auto"/>
          </w:tcPr>
          <w:p w14:paraId="442E7599" w14:textId="77777777" w:rsidR="00056AEE" w:rsidRDefault="00A00CB7">
            <w:pPr>
              <w:pStyle w:val="CellTextValue"/>
            </w:pPr>
            <w:r>
              <w:t>The total indicative budget for the topic is EUR 80.00 million.</w:t>
            </w:r>
          </w:p>
        </w:tc>
      </w:tr>
      <w:tr w:rsidR="00056AEE" w14:paraId="4A2A2EBC" w14:textId="77777777">
        <w:tc>
          <w:tcPr>
            <w:tcW w:w="0" w:type="auto"/>
          </w:tcPr>
          <w:p w14:paraId="68168DAC" w14:textId="77777777" w:rsidR="00056AEE" w:rsidRDefault="00A00CB7">
            <w:pPr>
              <w:pStyle w:val="CellTextValue"/>
              <w:jc w:val="left"/>
            </w:pPr>
            <w:r>
              <w:rPr>
                <w:i/>
              </w:rPr>
              <w:t>Type of Action</w:t>
            </w:r>
          </w:p>
        </w:tc>
        <w:tc>
          <w:tcPr>
            <w:tcW w:w="0" w:type="auto"/>
          </w:tcPr>
          <w:p w14:paraId="4445F08D" w14:textId="77777777" w:rsidR="00056AEE" w:rsidRDefault="00A00CB7">
            <w:pPr>
              <w:pStyle w:val="CellTextValue"/>
            </w:pPr>
            <w:r>
              <w:rPr>
                <w:color w:val="000000"/>
              </w:rPr>
              <w:t>Research and Innovation Actions</w:t>
            </w:r>
          </w:p>
        </w:tc>
      </w:tr>
      <w:tr w:rsidR="00056AEE" w14:paraId="5B370460" w14:textId="77777777">
        <w:tc>
          <w:tcPr>
            <w:tcW w:w="0" w:type="auto"/>
          </w:tcPr>
          <w:p w14:paraId="4F4FB026" w14:textId="77777777" w:rsidR="00056AEE" w:rsidRDefault="00A00CB7">
            <w:pPr>
              <w:pStyle w:val="CellTextValue"/>
              <w:jc w:val="left"/>
            </w:pPr>
            <w:r>
              <w:rPr>
                <w:i/>
              </w:rPr>
              <w:t>Eligibility conditions</w:t>
            </w:r>
          </w:p>
        </w:tc>
        <w:tc>
          <w:tcPr>
            <w:tcW w:w="0" w:type="auto"/>
          </w:tcPr>
          <w:p w14:paraId="3F257114" w14:textId="77777777" w:rsidR="00056AEE" w:rsidRDefault="00A00CB7">
            <w:pPr>
              <w:pStyle w:val="CellTextValue"/>
            </w:pPr>
            <w:r>
              <w:rPr>
                <w:color w:val="000000"/>
              </w:rPr>
              <w:t>The conditions are described in General Annex B. The following exceptions apply:</w:t>
            </w:r>
          </w:p>
          <w:p w14:paraId="1A6FECDA"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2DE1FD7" w14:textId="77777777" w:rsidR="00056AEE" w:rsidRDefault="00A00CB7">
            <w:pPr>
              <w:pStyle w:val="CellTextValue"/>
            </w:pPr>
            <w:r>
              <w:rPr>
                <w:color w:val="000000"/>
              </w:rPr>
              <w:lastRenderedPageBreak/>
              <w:t>In recognition of the opening of the US National Institutes of Health’s programmes to European researchers, any legal entity established in the United States of America is eligible to receive Union funding.</w:t>
            </w:r>
          </w:p>
          <w:p w14:paraId="2E78613C" w14:textId="77777777" w:rsidR="00056AEE" w:rsidRDefault="00A00CB7">
            <w:pPr>
              <w:pStyle w:val="CellTextValue"/>
            </w:pPr>
            <w:r>
              <w:rPr>
                <w:color w:val="000000"/>
              </w:rPr>
              <w:t>In addition to the eligibility conditions as described in General Annex B, the consortium must be composed of at most 5 legal entities.</w:t>
            </w:r>
          </w:p>
        </w:tc>
      </w:tr>
      <w:tr w:rsidR="00056AEE" w14:paraId="51232DB3" w14:textId="77777777">
        <w:tc>
          <w:tcPr>
            <w:tcW w:w="0" w:type="auto"/>
          </w:tcPr>
          <w:p w14:paraId="68AFBEF3" w14:textId="77777777" w:rsidR="00056AEE" w:rsidRDefault="00A00CB7">
            <w:pPr>
              <w:pStyle w:val="CellTextValue"/>
              <w:jc w:val="left"/>
            </w:pPr>
            <w:r>
              <w:rPr>
                <w:i/>
              </w:rPr>
              <w:lastRenderedPageBreak/>
              <w:t>Award criteria</w:t>
            </w:r>
          </w:p>
        </w:tc>
        <w:tc>
          <w:tcPr>
            <w:tcW w:w="0" w:type="auto"/>
          </w:tcPr>
          <w:p w14:paraId="393D5595" w14:textId="77777777" w:rsidR="00056AEE" w:rsidRDefault="00A00CB7">
            <w:pPr>
              <w:pStyle w:val="CellTextValue"/>
            </w:pPr>
            <w:r>
              <w:rPr>
                <w:color w:val="000000"/>
              </w:rPr>
              <w:t>The criteria are described in General Annex D. The following exceptions apply:</w:t>
            </w:r>
          </w:p>
          <w:p w14:paraId="0108FECA" w14:textId="77777777" w:rsidR="00056AEE" w:rsidRDefault="00A00CB7">
            <w:pPr>
              <w:pStyle w:val="CellTextValue"/>
            </w:pPr>
            <w:r>
              <w:rPr>
                <w:color w:val="000000"/>
              </w:rPr>
              <w:t>The thresholds for each criterion will be 4 (Excellence), 4 (Impact) and 4 (Implementation). The cumulative threshold will be 12.</w:t>
            </w:r>
          </w:p>
        </w:tc>
      </w:tr>
      <w:tr w:rsidR="00056AEE" w14:paraId="27D0CC20" w14:textId="77777777">
        <w:tc>
          <w:tcPr>
            <w:tcW w:w="0" w:type="auto"/>
          </w:tcPr>
          <w:p w14:paraId="4D9D0D36" w14:textId="77777777" w:rsidR="00056AEE" w:rsidRDefault="00A00CB7">
            <w:pPr>
              <w:pStyle w:val="CellTextValue"/>
              <w:jc w:val="left"/>
            </w:pPr>
            <w:r>
              <w:rPr>
                <w:i/>
              </w:rPr>
              <w:t>Legal and financial set-up of the Grant Agreements</w:t>
            </w:r>
          </w:p>
        </w:tc>
        <w:tc>
          <w:tcPr>
            <w:tcW w:w="0" w:type="auto"/>
          </w:tcPr>
          <w:p w14:paraId="1D10A61D" w14:textId="77777777" w:rsidR="00056AEE" w:rsidRDefault="00A00CB7">
            <w:pPr>
              <w:pStyle w:val="CellTextValue"/>
            </w:pPr>
            <w:r>
              <w:rPr>
                <w:color w:val="000000"/>
              </w:rPr>
              <w:t>The rules are described in General Annex G. The following exceptions apply:</w:t>
            </w:r>
          </w:p>
          <w:p w14:paraId="22C163AE" w14:textId="77777777" w:rsidR="00056AEE" w:rsidRDefault="00A00CB7">
            <w:pPr>
              <w:pStyle w:val="CellTextValue"/>
            </w:pPr>
            <w:r>
              <w:rPr>
                <w:color w:val="000000"/>
              </w:rPr>
              <w:t xml:space="preserve">The EU contribution going to small and medium-size enterprises (SMEs) will be 50% or more of the total EU contribution to the </w:t>
            </w:r>
            <w:proofErr w:type="gramStart"/>
            <w:r>
              <w:rPr>
                <w:color w:val="000000"/>
              </w:rPr>
              <w:t>project as a whole</w:t>
            </w:r>
            <w:proofErr w:type="gramEnd"/>
            <w:r>
              <w:rPr>
                <w:color w:val="000000"/>
              </w:rPr>
              <w:t>.</w:t>
            </w:r>
          </w:p>
          <w:p w14:paraId="7019C613" w14:textId="77777777" w:rsidR="00056AEE" w:rsidRDefault="00A00CB7">
            <w:pPr>
              <w:pStyle w:val="CellTextValue"/>
            </w:pPr>
            <w:r>
              <w:rPr>
                <w:color w:val="000000"/>
              </w:rPr>
              <w:t>The maximum project duration will be 4 years.</w:t>
            </w:r>
          </w:p>
        </w:tc>
      </w:tr>
    </w:tbl>
    <w:p w14:paraId="1033BFF8" w14:textId="77777777" w:rsidR="00056AEE" w:rsidRDefault="00056AEE">
      <w:pPr>
        <w:spacing w:after="0" w:line="150" w:lineRule="auto"/>
      </w:pPr>
    </w:p>
    <w:p w14:paraId="2C58467E"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directed towards and contributing to most of the following expected outcomes:</w:t>
      </w:r>
    </w:p>
    <w:p w14:paraId="5195087E" w14:textId="77777777" w:rsidR="00056AEE" w:rsidRDefault="00A00CB7" w:rsidP="003A38F8">
      <w:pPr>
        <w:pStyle w:val="Paragraphedeliste"/>
        <w:numPr>
          <w:ilvl w:val="0"/>
          <w:numId w:val="48"/>
        </w:numPr>
      </w:pPr>
      <w:r>
        <w:rPr>
          <w:color w:val="000000"/>
        </w:rPr>
        <w:t>Healthcare providers, researchers and patients get faster access to innovative therapies.</w:t>
      </w:r>
    </w:p>
    <w:p w14:paraId="5D73B6DE" w14:textId="77777777" w:rsidR="00056AEE" w:rsidRDefault="00A00CB7" w:rsidP="003A38F8">
      <w:pPr>
        <w:pStyle w:val="Paragraphedeliste"/>
        <w:numPr>
          <w:ilvl w:val="0"/>
          <w:numId w:val="48"/>
        </w:numPr>
      </w:pPr>
      <w:r>
        <w:rPr>
          <w:color w:val="000000"/>
        </w:rPr>
        <w:t>The European Union benefits from more clinical trials being conducted with new biotech therapeutic approaches.</w:t>
      </w:r>
    </w:p>
    <w:p w14:paraId="3B3B4E79" w14:textId="77777777" w:rsidR="00056AEE" w:rsidRDefault="00A00CB7" w:rsidP="003A38F8">
      <w:pPr>
        <w:pStyle w:val="Paragraphedeliste"/>
        <w:numPr>
          <w:ilvl w:val="0"/>
          <w:numId w:val="48"/>
        </w:numPr>
      </w:pPr>
      <w:r>
        <w:rPr>
          <w:color w:val="000000"/>
        </w:rPr>
        <w:t xml:space="preserve">The competitiveness of small and medium-size enterprises (SMEs) from the EU and Associated Countries within the health biotech sector is strengthened. </w:t>
      </w:r>
    </w:p>
    <w:p w14:paraId="6D3E3A0B" w14:textId="77777777" w:rsidR="00056AEE" w:rsidRDefault="00A00CB7">
      <w:r>
        <w:rPr>
          <w:u w:val="single"/>
        </w:rPr>
        <w:t>Scope</w:t>
      </w:r>
      <w:r>
        <w:t xml:space="preserve">: </w:t>
      </w:r>
      <w:r>
        <w:rPr>
          <w:color w:val="000000"/>
        </w:rPr>
        <w:t>The Commission Communication</w:t>
      </w:r>
      <w:r>
        <w:rPr>
          <w:i/>
          <w:color w:val="000000"/>
        </w:rPr>
        <w:t xml:space="preserve"> 'Building the future with nature: Boosting Biotechnology and Biomanufacturing in the EU'</w:t>
      </w:r>
      <w:r>
        <w:rPr>
          <w:color w:val="000000"/>
        </w:rPr>
        <w:t xml:space="preserve"> </w:t>
      </w:r>
      <w:r>
        <w:rPr>
          <w:vertAlign w:val="superscript"/>
        </w:rPr>
        <w:footnoteReference w:id="153"/>
      </w:r>
      <w:r>
        <w:rPr>
          <w:color w:val="000000"/>
        </w:rPr>
        <w:t xml:space="preserve"> has recently identified research and technology transfer to the market as a major challenge for the biotechnology sector. SMEs play a key role in the EU's potential to innovate, with most biotechnology-derived drugs in development being progressed by SMEs and small biotech companies. However, transitioning from drug discovery and development stages to approved products requires substantial investment and sufficient resources in different areas (e.g., manufacturing, clinical trial management, regulatory affairs, etc.), with the time needed for clinical development often exceeding 10 years</w:t>
      </w:r>
      <w:r>
        <w:rPr>
          <w:vertAlign w:val="superscript"/>
        </w:rPr>
        <w:footnoteReference w:id="154"/>
      </w:r>
      <w:r>
        <w:rPr>
          <w:color w:val="000000"/>
        </w:rPr>
        <w:t xml:space="preserve">. This topic targets collaborative multidisciplinary consortia of SMEs, academics, clinicians and research organisations bringing together the necessary expertise to </w:t>
      </w:r>
      <w:r>
        <w:rPr>
          <w:color w:val="000000"/>
        </w:rPr>
        <w:lastRenderedPageBreak/>
        <w:t>launch the clinical development of novel biotechnology-derived therapeutics. Collaboration with the relevant European research infrastructures is encouraged. This topic does not address the full clinical development needed to bring products to market but aims to support the critical transition phase from preclinical to clinical development by supporting the early clinical phases. A non-exhaustive list of biotechnology-derived therapies in scope include monoclonal antibodies, (therapeutic) vaccines, recombinant biomolecules, Advanced Therapy Medicinal Products (ATMPs), nano-based drugs, mRNA therapies etc. Whole blood, blood components and other substances of human origin are not within the scope of this topic.</w:t>
      </w:r>
    </w:p>
    <w:p w14:paraId="074599C8" w14:textId="77777777" w:rsidR="00056AEE" w:rsidRDefault="00A00CB7">
      <w:r>
        <w:rPr>
          <w:color w:val="000000"/>
        </w:rPr>
        <w:t>Proposals submitted under this topic should include the following elements:</w:t>
      </w:r>
    </w:p>
    <w:p w14:paraId="142942C9" w14:textId="77777777" w:rsidR="00056AEE" w:rsidRDefault="00A00CB7" w:rsidP="003A38F8">
      <w:pPr>
        <w:pStyle w:val="Paragraphedeliste"/>
        <w:numPr>
          <w:ilvl w:val="0"/>
          <w:numId w:val="49"/>
        </w:numPr>
      </w:pPr>
      <w:r>
        <w:rPr>
          <w:color w:val="000000"/>
        </w:rPr>
        <w:t>Clearly defined benefit for the SME(s) with the IP, including an exploitation plan and a proposed route to commercialisation, including market authorisation, for the biotechnology-derived therapeutics.</w:t>
      </w:r>
    </w:p>
    <w:p w14:paraId="0DF3C42E" w14:textId="77777777" w:rsidR="00056AEE" w:rsidRDefault="00A00CB7" w:rsidP="003A38F8">
      <w:pPr>
        <w:pStyle w:val="Paragraphedeliste"/>
        <w:numPr>
          <w:ilvl w:val="0"/>
          <w:numId w:val="49"/>
        </w:numPr>
      </w:pPr>
      <w:r>
        <w:rPr>
          <w:color w:val="000000"/>
        </w:rPr>
        <w:t>Proof that the investigational product is ready for clinical testing either through previous results from a clinical safety study (a first in human study completed) or regulatory approval already in place for clinical testing.</w:t>
      </w:r>
    </w:p>
    <w:p w14:paraId="5BB9E42A" w14:textId="77777777" w:rsidR="00056AEE" w:rsidRDefault="00A00CB7" w:rsidP="003A38F8">
      <w:pPr>
        <w:pStyle w:val="Paragraphedeliste"/>
        <w:numPr>
          <w:ilvl w:val="0"/>
          <w:numId w:val="49"/>
        </w:numPr>
      </w:pPr>
      <w:r>
        <w:rPr>
          <w:color w:val="000000"/>
        </w:rPr>
        <w:t xml:space="preserve">Justification of the patient populations that will benefit directly from the development of the therapies. Clinical indications where potentially large patient populations could benefit will be favoured. </w:t>
      </w:r>
    </w:p>
    <w:p w14:paraId="0572F5BB"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2649AB93" w14:textId="77777777" w:rsidR="00056AEE" w:rsidRPr="006372DB" w:rsidRDefault="00A00CB7">
      <w:pPr>
        <w:pStyle w:val="HeadingTwo"/>
        <w:rPr>
          <w:lang w:val="en-US"/>
        </w:rPr>
      </w:pPr>
      <w:bookmarkStart w:id="30" w:name="_Toc171689877"/>
      <w:r w:rsidRPr="006372DB">
        <w:rPr>
          <w:lang w:val="en-US"/>
        </w:rPr>
        <w:t>Destination - Maintaining an innovative, sustainable, and competitive EU health industry</w:t>
      </w:r>
      <w:bookmarkEnd w:id="30"/>
    </w:p>
    <w:p w14:paraId="7347F96C" w14:textId="77777777" w:rsidR="00056AEE" w:rsidRDefault="00A00CB7">
      <w:r>
        <w:rPr>
          <w:color w:val="000000"/>
        </w:rPr>
        <w:t>Calls for proposals under this destination are directed towards the Key Strategic Orientation 3 “</w:t>
      </w:r>
      <w:r>
        <w:rPr>
          <w:i/>
          <w:color w:val="000000"/>
        </w:rPr>
        <w:t>A more resilient, competitive, inclusive, and democratic Europe</w:t>
      </w:r>
      <w:r>
        <w:rPr>
          <w:color w:val="000000"/>
        </w:rPr>
        <w:t xml:space="preserve">” of Horizon Europe’s Strategic Plan 2025-2027. In addition, Key Strategic Orientation 2 </w:t>
      </w:r>
      <w:r>
        <w:rPr>
          <w:i/>
          <w:color w:val="000000"/>
        </w:rPr>
        <w:t>“The Digital Transition”</w:t>
      </w:r>
      <w:r>
        <w:rPr>
          <w:color w:val="000000"/>
        </w:rPr>
        <w:t xml:space="preserve"> and Key Strategic Orientation 1 “</w:t>
      </w:r>
      <w:r>
        <w:rPr>
          <w:i/>
          <w:color w:val="000000"/>
        </w:rPr>
        <w:t>The Green Transition</w:t>
      </w:r>
      <w:r>
        <w:rPr>
          <w:color w:val="000000"/>
        </w:rPr>
        <w:t>” are supported.</w:t>
      </w:r>
    </w:p>
    <w:p w14:paraId="2B3887F7" w14:textId="77777777" w:rsidR="00056AEE" w:rsidRDefault="00A00CB7">
      <w:r>
        <w:rPr>
          <w:color w:val="000000"/>
        </w:rPr>
        <w:t xml:space="preserve">Research and Innovation in this destination should contribute to the following expected impact, set out in the Strategic Plan for the Health Cluster: </w:t>
      </w:r>
      <w:r>
        <w:rPr>
          <w:i/>
          <w:color w:val="000000"/>
        </w:rPr>
        <w:t>“the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r>
        <w:rPr>
          <w:color w:val="000000"/>
        </w:rPr>
        <w:t>”</w:t>
      </w:r>
      <w:r>
        <w:rPr>
          <w:i/>
          <w:color w:val="000000"/>
        </w:rPr>
        <w:t>.</w:t>
      </w:r>
    </w:p>
    <w:p w14:paraId="32C4DF94" w14:textId="77777777" w:rsidR="00056AEE" w:rsidRDefault="00A00CB7">
      <w:r>
        <w:rPr>
          <w:color w:val="000000"/>
        </w:rPr>
        <w:t xml:space="preserve">The health industry is a key driver for growth and has the capacity to provide health technologies to the benefit of patients and providers of healthcare services. The relevant value chains involve a broad variety of key players from supply, demand and regulatory sides. In addition, the path of innovation in health is long and complex. The development of novel health technologies is generally associated with uncertainties and market barriers due to </w:t>
      </w:r>
      <w:r>
        <w:rPr>
          <w:color w:val="000000"/>
        </w:rPr>
        <w:lastRenderedPageBreak/>
        <w:t>expensive and risky development (e.g., high attrition rate in pharmaceutical development), high quality and security requirements (e.g., clinical performance, safety, data privacy and cybersecurity) and market specificities (e.g., strong regulation, pricing and reimbursement issues). In addition, the growing concern about environmental issues is putting more pressure on this industry. Therefore, there is a need for Research and Innovation integrating various stakeholders to facilitate market access of innovative health technologies (medical technologies, pharmaceuticals, biotechnologies, digital health technologies).</w:t>
      </w:r>
    </w:p>
    <w:p w14:paraId="45C20A3B" w14:textId="77777777" w:rsidR="00056AEE" w:rsidRDefault="00A00CB7">
      <w:r>
        <w:rPr>
          <w:color w:val="000000"/>
        </w:rPr>
        <w:t>In this work programme, Destination “</w:t>
      </w:r>
      <w:r>
        <w:rPr>
          <w:i/>
          <w:color w:val="000000"/>
        </w:rPr>
        <w:t>Maintaining an innovative, sustainable and competitive EU health industry</w:t>
      </w:r>
      <w:r>
        <w:rPr>
          <w:color w:val="000000"/>
        </w:rPr>
        <w:t xml:space="preserve">” focuses on collaborative efforts to advance manufacturing processes and activities to ensure increased knowledge on and a faster uptake of medical devices and </w:t>
      </w:r>
      <w:r>
        <w:rPr>
          <w:i/>
          <w:color w:val="000000"/>
        </w:rPr>
        <w:t>in vitro</w:t>
      </w:r>
      <w:r>
        <w:rPr>
          <w:color w:val="000000"/>
        </w:rPr>
        <w:t xml:space="preserve"> diagnostic medical devices in the current EU regulatory context. The results will support the EU Industrial Policy, with a focus on strengthening the resilience of the single market, addressing the EU’s strategic dependencies, gaining technological sovereignty and accelerating the green and digital transitions. In addition, the results will further strengthen the single market, by implementing the Digital Single Market strategy, providing evidence and guidelines for stakeholders and regulators to ensure take-up of innovations, supporting environmental, fiscal and socio-economic sustainability while fostering healthcare access and reducing health inequities. The results will also support the implementation of the Regulations on Medical Devices (MDR) and </w:t>
      </w:r>
      <w:r>
        <w:rPr>
          <w:i/>
          <w:color w:val="000000"/>
        </w:rPr>
        <w:t>In Vitro</w:t>
      </w:r>
      <w:r>
        <w:rPr>
          <w:color w:val="000000"/>
        </w:rPr>
        <w:t xml:space="preserve"> Medical Devices (IVDR) and the Pharmaceutical Strategy for Europe, especially aspects related to the importance of ensuring industry competitiveness, innovation and sustainability and the development of high quality, safe, effective, and greener medicines.</w:t>
      </w:r>
    </w:p>
    <w:p w14:paraId="400F4EA1" w14:textId="77777777" w:rsidR="00056AEE" w:rsidRDefault="00A00CB7">
      <w:r>
        <w:rPr>
          <w:color w:val="000000"/>
        </w:rPr>
        <w:t>In view of increasing the impact of EU investments under Horizon Europe, the European Commission welcomes and supports cooperation between EU-funded projects to enable cross-fertilisation and other synergies. This could range from networking to joint activities such as the participation in joint workshops, the exchange of knowledge, development and adoption of best practices, or joint communication activities. All topics are open to international collaboration to address global environment and health challenges.</w:t>
      </w:r>
    </w:p>
    <w:p w14:paraId="26483E1F" w14:textId="77777777" w:rsidR="00056AEE" w:rsidRDefault="00A00CB7">
      <w:r>
        <w:rPr>
          <w:color w:val="000000"/>
        </w:rPr>
        <w:t xml:space="preserve">In particular, the topics under this destination will support activities aiming at: </w:t>
      </w:r>
      <w:proofErr w:type="spellStart"/>
      <w:r>
        <w:rPr>
          <w:color w:val="000000"/>
        </w:rPr>
        <w:t>i</w:t>
      </w:r>
      <w:proofErr w:type="spellEnd"/>
      <w:r>
        <w:rPr>
          <w:color w:val="000000"/>
        </w:rPr>
        <w:t xml:space="preserve">) optimising the manufacturing of Advanced Therapy Medicinal Products (ATMPs) with the ultimate aim that healthcare providers, researchers and patients get faster access to ATMPs with demonstrated health benefits for unmet medical needs; ii) advance digitalisation of conformity assessment procedures in the context of medical device and </w:t>
      </w:r>
      <w:r>
        <w:rPr>
          <w:i/>
          <w:color w:val="000000"/>
        </w:rPr>
        <w:t>in vitro</w:t>
      </w:r>
      <w:r>
        <w:rPr>
          <w:color w:val="000000"/>
        </w:rPr>
        <w:t xml:space="preserve"> diagnostic medical device development; iii) facilitating and enabling improved knowledge on the conduct of multinational clinical studies of orphan devices and/or highly innovative (“breakthrough”) devices.</w:t>
      </w:r>
    </w:p>
    <w:p w14:paraId="3C83F79D" w14:textId="77777777" w:rsidR="00056AEE" w:rsidRDefault="00A00CB7">
      <w:r>
        <w:rPr>
          <w:color w:val="000000"/>
          <w:u w:val="single"/>
        </w:rPr>
        <w:t>Expected impacts</w:t>
      </w:r>
      <w:r>
        <w:rPr>
          <w:color w:val="000000"/>
        </w:rPr>
        <w:t>:</w:t>
      </w:r>
    </w:p>
    <w:p w14:paraId="2DBF1F66" w14:textId="77777777" w:rsidR="00056AEE" w:rsidRDefault="00A00CB7">
      <w:r>
        <w:rPr>
          <w:color w:val="000000"/>
        </w:rPr>
        <w:t>Proposals for topics under this destination should set out a credible pathway to contributing to maintaining an innovative, sustainable and competitive EU health industry, and more specifically to one or several of the following expected impacts:</w:t>
      </w:r>
    </w:p>
    <w:p w14:paraId="18244BF9" w14:textId="77777777" w:rsidR="00056AEE" w:rsidRDefault="00A00CB7" w:rsidP="003A38F8">
      <w:pPr>
        <w:pStyle w:val="Paragraphedeliste"/>
        <w:numPr>
          <w:ilvl w:val="0"/>
          <w:numId w:val="50"/>
        </w:numPr>
      </w:pPr>
      <w:r>
        <w:rPr>
          <w:color w:val="000000"/>
        </w:rPr>
        <w:lastRenderedPageBreak/>
        <w:t xml:space="preserve">Health industry in Europe and Associated Countries is more competitive and sustainable, assuring European leadership in breakthrough health technologies and open strategic autonomy in essential medical supplies and (digital) technologies, contributing to job creation and economic growth, </w:t>
      </w:r>
      <w:proofErr w:type="gramStart"/>
      <w:r>
        <w:rPr>
          <w:color w:val="000000"/>
        </w:rPr>
        <w:t>in particular with</w:t>
      </w:r>
      <w:proofErr w:type="gramEnd"/>
      <w:r>
        <w:rPr>
          <w:color w:val="000000"/>
        </w:rPr>
        <w:t xml:space="preserve"> small and medium-size enterprises (SMEs).</w:t>
      </w:r>
    </w:p>
    <w:p w14:paraId="4383409C" w14:textId="77777777" w:rsidR="00056AEE" w:rsidRDefault="00A00CB7" w:rsidP="003A38F8">
      <w:pPr>
        <w:pStyle w:val="Paragraphedeliste"/>
        <w:numPr>
          <w:ilvl w:val="0"/>
          <w:numId w:val="50"/>
        </w:numPr>
      </w:pPr>
      <w:r>
        <w:rPr>
          <w:color w:val="000000"/>
        </w:rPr>
        <w:t>Health industry is supported by cross-sectoral Research and Innovation in the context of convergence of health technologies (integrating medical technologies, pharmaceuticals, biotechnologies, digital health, and e-health technologies) while strengthening key market positions.</w:t>
      </w:r>
    </w:p>
    <w:p w14:paraId="1D528082" w14:textId="77777777" w:rsidR="00056AEE" w:rsidRDefault="00A00CB7" w:rsidP="003A38F8">
      <w:pPr>
        <w:pStyle w:val="Paragraphedeliste"/>
        <w:numPr>
          <w:ilvl w:val="0"/>
          <w:numId w:val="50"/>
        </w:numPr>
      </w:pPr>
      <w:r>
        <w:rPr>
          <w:color w:val="000000"/>
        </w:rPr>
        <w:t>Health industry is working more efficiently along the value chain from the identification of needs to the scale-up and take-up of solutions at national, regional or local level, including through early engagement with patients, healthcare providers, health authorities and regulators ensuring suitability and acceptance of solutions.</w:t>
      </w:r>
    </w:p>
    <w:p w14:paraId="0118BAEB" w14:textId="77777777" w:rsidR="00056AEE" w:rsidRDefault="00A00CB7" w:rsidP="003A38F8">
      <w:pPr>
        <w:pStyle w:val="Paragraphedeliste"/>
        <w:numPr>
          <w:ilvl w:val="0"/>
          <w:numId w:val="50"/>
        </w:numPr>
      </w:pPr>
      <w:r>
        <w:rPr>
          <w:color w:val="000000"/>
        </w:rPr>
        <w:t>Citizens, healthcare providers and health systems benefit from a swift uptake of innovative health technologies and services through the provision of evidence and guidelines for stakeholders, policymakers and regulators. These efforts offer significant improvements in health outcomes, also potentially strengthening access to healthcare for all and reducing health inequities while health industry benefits from decreased time-to-market.</w:t>
      </w:r>
    </w:p>
    <w:p w14:paraId="2CC78BFC" w14:textId="77777777" w:rsidR="00056AEE" w:rsidRDefault="00A00CB7" w:rsidP="003A38F8">
      <w:pPr>
        <w:pStyle w:val="Paragraphedeliste"/>
        <w:numPr>
          <w:ilvl w:val="0"/>
          <w:numId w:val="50"/>
        </w:numPr>
      </w:pPr>
      <w:r>
        <w:rPr>
          <w:color w:val="000000"/>
        </w:rPr>
        <w:t xml:space="preserve">Citizens, healthcare providers and health systems benefit from increased health security in Europe and Associated Countries due to reliable access to key manufacturing capacity, including timely provision of essential medical supplies and technologies of particularly complex or critical supply and distribution chains. </w:t>
      </w:r>
    </w:p>
    <w:p w14:paraId="7E520861" w14:textId="77777777" w:rsidR="00056AEE" w:rsidRDefault="00A00CB7">
      <w:r>
        <w:t>Proposals are invited against the following topic(s):</w:t>
      </w:r>
    </w:p>
    <w:p w14:paraId="2C1861AB" w14:textId="77777777" w:rsidR="00056AEE" w:rsidRDefault="00A00CB7">
      <w:pPr>
        <w:pStyle w:val="HeadingThree"/>
      </w:pPr>
      <w:bookmarkStart w:id="31" w:name="_Toc171689878"/>
      <w:r>
        <w:t>HORIZON-HLTH-2025-01-IND-01: Optimising the manufacturing of Advanced Therapy Medicinal Products (ATMPs)</w:t>
      </w:r>
      <w:bookmarkEnd w:id="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3A38F8" w14:paraId="469466F6" w14:textId="77777777" w:rsidTr="003A38F8">
        <w:tc>
          <w:tcPr>
            <w:tcW w:w="0" w:type="auto"/>
            <w:gridSpan w:val="2"/>
          </w:tcPr>
          <w:p w14:paraId="3E67B90F" w14:textId="77777777" w:rsidR="00056AEE" w:rsidRDefault="00A00CB7">
            <w:pPr>
              <w:pStyle w:val="CellTextValue"/>
            </w:pPr>
            <w:r>
              <w:rPr>
                <w:b/>
              </w:rPr>
              <w:t>Call: Cluster 1 - Health (Single stage - 2025)</w:t>
            </w:r>
          </w:p>
        </w:tc>
      </w:tr>
      <w:tr w:rsidR="003A38F8" w14:paraId="0A205021" w14:textId="77777777" w:rsidTr="003A38F8">
        <w:tc>
          <w:tcPr>
            <w:tcW w:w="0" w:type="auto"/>
            <w:gridSpan w:val="2"/>
          </w:tcPr>
          <w:p w14:paraId="463EC415" w14:textId="77777777" w:rsidR="00056AEE" w:rsidRDefault="00A00CB7">
            <w:pPr>
              <w:pStyle w:val="CellTextValue"/>
            </w:pPr>
            <w:r>
              <w:rPr>
                <w:b/>
              </w:rPr>
              <w:t>Specific conditions</w:t>
            </w:r>
          </w:p>
        </w:tc>
      </w:tr>
      <w:tr w:rsidR="00056AEE" w14:paraId="1BE05B42" w14:textId="77777777">
        <w:tc>
          <w:tcPr>
            <w:tcW w:w="0" w:type="auto"/>
          </w:tcPr>
          <w:p w14:paraId="14AECABF" w14:textId="77777777" w:rsidR="00056AEE" w:rsidRDefault="00A00CB7">
            <w:pPr>
              <w:pStyle w:val="CellTextValue"/>
              <w:jc w:val="left"/>
            </w:pPr>
            <w:r>
              <w:rPr>
                <w:i/>
              </w:rPr>
              <w:t>Expected EU contribution per project</w:t>
            </w:r>
          </w:p>
        </w:tc>
        <w:tc>
          <w:tcPr>
            <w:tcW w:w="0" w:type="auto"/>
          </w:tcPr>
          <w:p w14:paraId="10A4C32D" w14:textId="77777777" w:rsidR="00056AEE" w:rsidRDefault="00A00CB7">
            <w:pPr>
              <w:pStyle w:val="CellTextValue"/>
            </w:pPr>
            <w:r>
              <w:t>The Commission estimates that an EU contribution of between EUR 5.00 and 7.00 million would allow these outcomes to be addressed appropriately. Nonetheless, this does not preclude submission and selection of a proposal requesting different amounts.</w:t>
            </w:r>
          </w:p>
        </w:tc>
      </w:tr>
      <w:tr w:rsidR="00056AEE" w14:paraId="2FB1919A" w14:textId="77777777">
        <w:tc>
          <w:tcPr>
            <w:tcW w:w="0" w:type="auto"/>
          </w:tcPr>
          <w:p w14:paraId="0919B884" w14:textId="77777777" w:rsidR="00056AEE" w:rsidRDefault="00A00CB7">
            <w:pPr>
              <w:pStyle w:val="CellTextValue"/>
              <w:jc w:val="left"/>
            </w:pPr>
            <w:r>
              <w:rPr>
                <w:i/>
              </w:rPr>
              <w:t>Indicative budget</w:t>
            </w:r>
          </w:p>
        </w:tc>
        <w:tc>
          <w:tcPr>
            <w:tcW w:w="0" w:type="auto"/>
          </w:tcPr>
          <w:p w14:paraId="3AC842A5" w14:textId="77777777" w:rsidR="00056AEE" w:rsidRDefault="00A00CB7">
            <w:pPr>
              <w:pStyle w:val="CellTextValue"/>
            </w:pPr>
            <w:r>
              <w:t>The total indicative budget for the topic is EUR 35.00 million.</w:t>
            </w:r>
          </w:p>
        </w:tc>
      </w:tr>
      <w:tr w:rsidR="00056AEE" w14:paraId="5F753AD9" w14:textId="77777777">
        <w:tc>
          <w:tcPr>
            <w:tcW w:w="0" w:type="auto"/>
          </w:tcPr>
          <w:p w14:paraId="4A2B9CBB" w14:textId="77777777" w:rsidR="00056AEE" w:rsidRDefault="00A00CB7">
            <w:pPr>
              <w:pStyle w:val="CellTextValue"/>
              <w:jc w:val="left"/>
            </w:pPr>
            <w:r>
              <w:rPr>
                <w:i/>
              </w:rPr>
              <w:t>Type of Action</w:t>
            </w:r>
          </w:p>
        </w:tc>
        <w:tc>
          <w:tcPr>
            <w:tcW w:w="0" w:type="auto"/>
          </w:tcPr>
          <w:p w14:paraId="06289F55" w14:textId="77777777" w:rsidR="00056AEE" w:rsidRDefault="00A00CB7">
            <w:pPr>
              <w:pStyle w:val="CellTextValue"/>
            </w:pPr>
            <w:r>
              <w:rPr>
                <w:color w:val="000000"/>
              </w:rPr>
              <w:t>Innovation Actions</w:t>
            </w:r>
          </w:p>
        </w:tc>
      </w:tr>
      <w:tr w:rsidR="00056AEE" w14:paraId="7E610BB9" w14:textId="77777777">
        <w:tc>
          <w:tcPr>
            <w:tcW w:w="0" w:type="auto"/>
          </w:tcPr>
          <w:p w14:paraId="2F5F6ECD" w14:textId="77777777" w:rsidR="00056AEE" w:rsidRDefault="00A00CB7">
            <w:pPr>
              <w:pStyle w:val="CellTextValue"/>
              <w:jc w:val="left"/>
            </w:pPr>
            <w:r>
              <w:rPr>
                <w:i/>
              </w:rPr>
              <w:t xml:space="preserve">Eligibility </w:t>
            </w:r>
            <w:r>
              <w:rPr>
                <w:i/>
              </w:rPr>
              <w:lastRenderedPageBreak/>
              <w:t>conditions</w:t>
            </w:r>
          </w:p>
        </w:tc>
        <w:tc>
          <w:tcPr>
            <w:tcW w:w="0" w:type="auto"/>
          </w:tcPr>
          <w:p w14:paraId="7B2A6B63" w14:textId="77777777" w:rsidR="00056AEE" w:rsidRDefault="00A00CB7">
            <w:pPr>
              <w:pStyle w:val="CellTextValue"/>
            </w:pPr>
            <w:r>
              <w:rPr>
                <w:color w:val="000000"/>
              </w:rPr>
              <w:lastRenderedPageBreak/>
              <w:t xml:space="preserve">The conditions are described in General Annex B. The following </w:t>
            </w:r>
            <w:r>
              <w:rPr>
                <w:color w:val="000000"/>
              </w:rPr>
              <w:lastRenderedPageBreak/>
              <w:t>exceptions apply:</w:t>
            </w:r>
          </w:p>
          <w:p w14:paraId="2566A8A8"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6E60F9E3"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195F76E6" w14:textId="77777777" w:rsidR="00056AEE" w:rsidRDefault="00A00CB7">
            <w:pPr>
              <w:pStyle w:val="CellTextValue"/>
            </w:pPr>
            <w:r>
              <w:rPr>
                <w:color w:val="000000"/>
              </w:rPr>
              <w:t>The Joint Research Centre (JRC) may participate as member of the consortium selected for funding.</w:t>
            </w:r>
          </w:p>
        </w:tc>
      </w:tr>
      <w:tr w:rsidR="00056AEE" w14:paraId="085CE32B" w14:textId="77777777">
        <w:tc>
          <w:tcPr>
            <w:tcW w:w="0" w:type="auto"/>
          </w:tcPr>
          <w:p w14:paraId="6C0BC4EC" w14:textId="77777777" w:rsidR="00056AEE" w:rsidRDefault="00A00CB7">
            <w:pPr>
              <w:pStyle w:val="CellTextValue"/>
              <w:jc w:val="left"/>
            </w:pPr>
            <w:r>
              <w:rPr>
                <w:i/>
              </w:rPr>
              <w:lastRenderedPageBreak/>
              <w:t>Award criteria</w:t>
            </w:r>
          </w:p>
        </w:tc>
        <w:tc>
          <w:tcPr>
            <w:tcW w:w="0" w:type="auto"/>
          </w:tcPr>
          <w:p w14:paraId="1A8E705F" w14:textId="77777777" w:rsidR="00056AEE" w:rsidRDefault="00A00CB7">
            <w:pPr>
              <w:pStyle w:val="CellTextValue"/>
            </w:pPr>
            <w:r>
              <w:rPr>
                <w:color w:val="000000"/>
              </w:rPr>
              <w:t>The criteria are described in General Annex D. The following exceptions apply:</w:t>
            </w:r>
          </w:p>
          <w:p w14:paraId="6579AFDF" w14:textId="77777777" w:rsidR="00056AEE" w:rsidRDefault="00A00CB7">
            <w:pPr>
              <w:pStyle w:val="CellTextValue"/>
            </w:pPr>
            <w:r>
              <w:rPr>
                <w:color w:val="000000"/>
              </w:rPr>
              <w:t>The thresholds for each criterion will be 4 (Excellence), 4 (Impact) and 4 (Implementation). The cumulative threshold will be 12.</w:t>
            </w:r>
          </w:p>
        </w:tc>
      </w:tr>
    </w:tbl>
    <w:p w14:paraId="6E83A456" w14:textId="77777777" w:rsidR="00056AEE" w:rsidRDefault="00056AEE">
      <w:pPr>
        <w:spacing w:after="0" w:line="150" w:lineRule="auto"/>
      </w:pPr>
    </w:p>
    <w:p w14:paraId="4B446E87"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tailored towards and contributing to all the following expected outcomes:</w:t>
      </w:r>
    </w:p>
    <w:p w14:paraId="1B51117A" w14:textId="77777777" w:rsidR="00056AEE" w:rsidRDefault="00A00CB7" w:rsidP="003A38F8">
      <w:pPr>
        <w:pStyle w:val="Paragraphedeliste"/>
        <w:numPr>
          <w:ilvl w:val="0"/>
          <w:numId w:val="51"/>
        </w:numPr>
      </w:pPr>
      <w:r>
        <w:rPr>
          <w:color w:val="000000"/>
        </w:rPr>
        <w:t>Academic and industrial developers advance processes that support the timely and robust development of Advanced Therapy Medicinal Products (ATMPs</w:t>
      </w:r>
      <w:proofErr w:type="gramStart"/>
      <w:r>
        <w:rPr>
          <w:color w:val="000000"/>
        </w:rPr>
        <w:t>);</w:t>
      </w:r>
      <w:proofErr w:type="gramEnd"/>
    </w:p>
    <w:p w14:paraId="10184665" w14:textId="77777777" w:rsidR="00056AEE" w:rsidRDefault="00A00CB7" w:rsidP="003A38F8">
      <w:pPr>
        <w:pStyle w:val="Paragraphedeliste"/>
        <w:numPr>
          <w:ilvl w:val="0"/>
          <w:numId w:val="51"/>
        </w:numPr>
      </w:pPr>
      <w:r>
        <w:rPr>
          <w:color w:val="000000"/>
        </w:rPr>
        <w:t xml:space="preserve">Manufacturers integrate improved technologies/processes (including Artificial Intelligence solutions), analytic tools, methods including non-clinical methods and assays for more flexible manufacturing of </w:t>
      </w:r>
      <w:proofErr w:type="gramStart"/>
      <w:r>
        <w:rPr>
          <w:color w:val="000000"/>
        </w:rPr>
        <w:t>ATMPs;</w:t>
      </w:r>
      <w:proofErr w:type="gramEnd"/>
    </w:p>
    <w:p w14:paraId="0E5158B3" w14:textId="77777777" w:rsidR="00056AEE" w:rsidRDefault="00A00CB7" w:rsidP="003A38F8">
      <w:pPr>
        <w:pStyle w:val="Paragraphedeliste"/>
        <w:numPr>
          <w:ilvl w:val="0"/>
          <w:numId w:val="51"/>
        </w:numPr>
      </w:pPr>
      <w:r>
        <w:rPr>
          <w:color w:val="000000"/>
        </w:rPr>
        <w:t xml:space="preserve">Healthcare providers, researchers and patients get faster access to ATMPs with demonstrated health benefits for unmet medical </w:t>
      </w:r>
      <w:proofErr w:type="gramStart"/>
      <w:r>
        <w:rPr>
          <w:color w:val="000000"/>
        </w:rPr>
        <w:t>needs;</w:t>
      </w:r>
      <w:proofErr w:type="gramEnd"/>
    </w:p>
    <w:p w14:paraId="61C493DB" w14:textId="77777777" w:rsidR="00056AEE" w:rsidRDefault="00A00CB7" w:rsidP="003A38F8">
      <w:pPr>
        <w:pStyle w:val="Paragraphedeliste"/>
        <w:numPr>
          <w:ilvl w:val="0"/>
          <w:numId w:val="51"/>
        </w:numPr>
      </w:pPr>
      <w:r>
        <w:rPr>
          <w:color w:val="000000"/>
        </w:rPr>
        <w:t xml:space="preserve">Companies in the EU and Associated countries get a better market position in the field of ATMP manufacturing and improve their knowledge on how to advance process </w:t>
      </w:r>
      <w:proofErr w:type="gramStart"/>
      <w:r>
        <w:rPr>
          <w:color w:val="000000"/>
        </w:rPr>
        <w:t>improvements;</w:t>
      </w:r>
      <w:proofErr w:type="gramEnd"/>
    </w:p>
    <w:p w14:paraId="4D6927AD" w14:textId="77777777" w:rsidR="00056AEE" w:rsidRDefault="00A00CB7" w:rsidP="003A38F8">
      <w:pPr>
        <w:pStyle w:val="Paragraphedeliste"/>
        <w:numPr>
          <w:ilvl w:val="0"/>
          <w:numId w:val="51"/>
        </w:numPr>
      </w:pPr>
      <w:r>
        <w:rPr>
          <w:color w:val="000000"/>
        </w:rPr>
        <w:t xml:space="preserve">The EU and Associated countries benefit from more Centres of Excellence in this area. </w:t>
      </w:r>
    </w:p>
    <w:p w14:paraId="5623FFFF" w14:textId="77777777" w:rsidR="00056AEE" w:rsidRDefault="00A00CB7">
      <w:r>
        <w:rPr>
          <w:u w:val="single"/>
        </w:rPr>
        <w:t>Scope</w:t>
      </w:r>
      <w:r>
        <w:t xml:space="preserve">: </w:t>
      </w:r>
      <w:r>
        <w:rPr>
          <w:color w:val="000000"/>
        </w:rPr>
        <w:t>New pioneering treatments called Advanced Therapy Medicinal Products (ATMPs)</w:t>
      </w:r>
      <w:r>
        <w:rPr>
          <w:vertAlign w:val="superscript"/>
        </w:rPr>
        <w:footnoteReference w:id="155"/>
      </w:r>
      <w:r>
        <w:rPr>
          <w:color w:val="000000"/>
        </w:rPr>
        <w:t xml:space="preserve">, including cell and gene therapies, are at the cutting edge of medicines discovery. Owing to their precise nature, ATMPs embody personalised medicine and reflect a shift in medicine </w:t>
      </w:r>
      <w:r>
        <w:rPr>
          <w:color w:val="000000"/>
        </w:rPr>
        <w:lastRenderedPageBreak/>
        <w:t>towards potentially one-time curative therapies instead of chronic therapies that mainly cure the symptoms but not the underlying cause of diseases.</w:t>
      </w:r>
    </w:p>
    <w:p w14:paraId="3E20C5E9" w14:textId="77777777" w:rsidR="00056AEE" w:rsidRDefault="00A00CB7">
      <w:r>
        <w:rPr>
          <w:color w:val="000000"/>
        </w:rPr>
        <w:t>ATMPs have undergone important technological advancements that are improving their efficacy, precision, scalability, and safety. Additionally, the disease focus of ATMPs is likely to shift further from rare diseases to more common conditions with larger patient populations. However, the development and manufacturing of ATMPs still faces important challenges, such as long development times, expensive manufacturing processes and a fragmented and dispersed biomanufacturing landscape.</w:t>
      </w:r>
    </w:p>
    <w:p w14:paraId="0A55412E" w14:textId="77777777" w:rsidR="00056AEE" w:rsidRDefault="00A00CB7">
      <w:r>
        <w:rPr>
          <w:color w:val="000000"/>
        </w:rPr>
        <w:t>The topic focuses on addressing the challenges of ATMP manufacturing, the need for highly specialised equipment and facilities, including in-process quality control and validation tests, scaling up and batch-to-batch reproducibility, whilst maintaining the efficacy of an ATMP product during the manufacturing process and/or the transition from centralised to decentralised manufacturing.</w:t>
      </w:r>
    </w:p>
    <w:p w14:paraId="03B24AC5" w14:textId="77777777" w:rsidR="00056AEE" w:rsidRDefault="00A00CB7">
      <w:r>
        <w:rPr>
          <w:color w:val="000000"/>
        </w:rPr>
        <w:t>This topic aims to optimise ATMP production where the general manufacturing process for human use has already been established under conditions complying with Good Manufacturing Practices but has not been sufficiently optimised for scale-up for the same product. Collaboration is crucial to refine the manufacturing of ATMPs, emphasising advancements in processes - including leveraging the potential of digital tools and advanced sensors -, fostering standardisation and enhancing quality controls for more efficient production and deployment of these innovative therapies, ideally covering the entire manufacturing lifecycle.</w:t>
      </w:r>
    </w:p>
    <w:p w14:paraId="69EB1EDC" w14:textId="77777777" w:rsidR="00056AEE" w:rsidRDefault="00A00CB7">
      <w:r>
        <w:rPr>
          <w:color w:val="000000"/>
        </w:rPr>
        <w:t>The proposals should address all the following activities for one chosen technology area per proposal:</w:t>
      </w:r>
    </w:p>
    <w:p w14:paraId="7C0BE012" w14:textId="77777777" w:rsidR="00056AEE" w:rsidRDefault="00A00CB7" w:rsidP="003A38F8">
      <w:pPr>
        <w:pStyle w:val="Paragraphedeliste"/>
        <w:numPr>
          <w:ilvl w:val="0"/>
          <w:numId w:val="52"/>
        </w:numPr>
      </w:pPr>
      <w:r>
        <w:rPr>
          <w:color w:val="000000"/>
        </w:rPr>
        <w:t xml:space="preserve">Design an improved manufacturing process for ATMPs by:       </w:t>
      </w:r>
    </w:p>
    <w:p w14:paraId="6E9FFFEF" w14:textId="77777777" w:rsidR="00056AEE" w:rsidRDefault="00A00CB7" w:rsidP="003A38F8">
      <w:pPr>
        <w:pStyle w:val="Paragraphedeliste"/>
        <w:numPr>
          <w:ilvl w:val="1"/>
          <w:numId w:val="52"/>
        </w:numPr>
      </w:pPr>
      <w:r>
        <w:rPr>
          <w:color w:val="000000"/>
        </w:rPr>
        <w:t xml:space="preserve">Exploring the potential of platform technologies in manufacturing, quality control, non-clinical or clinical </w:t>
      </w:r>
      <w:proofErr w:type="gramStart"/>
      <w:r>
        <w:rPr>
          <w:color w:val="000000"/>
        </w:rPr>
        <w:t>testing;</w:t>
      </w:r>
      <w:proofErr w:type="gramEnd"/>
      <w:r>
        <w:rPr>
          <w:color w:val="000000"/>
        </w:rPr>
        <w:t xml:space="preserve">   </w:t>
      </w:r>
    </w:p>
    <w:p w14:paraId="0B2A5529" w14:textId="77777777" w:rsidR="00056AEE" w:rsidRDefault="00A00CB7" w:rsidP="003A38F8">
      <w:pPr>
        <w:pStyle w:val="Paragraphedeliste"/>
        <w:numPr>
          <w:ilvl w:val="1"/>
          <w:numId w:val="52"/>
        </w:numPr>
      </w:pPr>
      <w:r>
        <w:rPr>
          <w:color w:val="000000"/>
        </w:rPr>
        <w:t xml:space="preserve">Integrating either computational modelling, automation, robotics or digital/Artificial Intelligence solutions with meaningful and measurable </w:t>
      </w:r>
      <w:proofErr w:type="gramStart"/>
      <w:r>
        <w:rPr>
          <w:color w:val="000000"/>
        </w:rPr>
        <w:t>impact;</w:t>
      </w:r>
      <w:proofErr w:type="gramEnd"/>
      <w:r>
        <w:rPr>
          <w:color w:val="000000"/>
        </w:rPr>
        <w:t xml:space="preserve">  </w:t>
      </w:r>
    </w:p>
    <w:p w14:paraId="7211B792" w14:textId="77777777" w:rsidR="00056AEE" w:rsidRDefault="00A00CB7" w:rsidP="003A38F8">
      <w:pPr>
        <w:pStyle w:val="Paragraphedeliste"/>
        <w:numPr>
          <w:ilvl w:val="0"/>
          <w:numId w:val="52"/>
        </w:numPr>
      </w:pPr>
      <w:r>
        <w:rPr>
          <w:color w:val="000000"/>
        </w:rPr>
        <w:t>Verify the improved performance of the developed process, in comparison to established ones.</w:t>
      </w:r>
    </w:p>
    <w:p w14:paraId="2CBC464A" w14:textId="77777777" w:rsidR="00056AEE" w:rsidRDefault="00A00CB7" w:rsidP="003A38F8">
      <w:pPr>
        <w:pStyle w:val="Paragraphedeliste"/>
        <w:numPr>
          <w:ilvl w:val="0"/>
          <w:numId w:val="52"/>
        </w:numPr>
      </w:pPr>
      <w:r>
        <w:rPr>
          <w:color w:val="000000"/>
        </w:rPr>
        <w:t>Demonstrate a reduction in the timeframe and costs of manufacturing while maintaining product quality and standardisation.</w:t>
      </w:r>
    </w:p>
    <w:p w14:paraId="4DE14E3D" w14:textId="77777777" w:rsidR="00056AEE" w:rsidRDefault="00A00CB7" w:rsidP="003A38F8">
      <w:pPr>
        <w:pStyle w:val="Paragraphedeliste"/>
        <w:numPr>
          <w:ilvl w:val="0"/>
          <w:numId w:val="52"/>
        </w:numPr>
      </w:pPr>
      <w:r>
        <w:rPr>
          <w:color w:val="000000"/>
        </w:rPr>
        <w:t>Demonstrate the translatability, scalability, and robustness of the process suitable for the flexible manufacturing (centralised or decentralised) and deployment of ATMPs by important stakeholders in a patient-centric manner, including the medical community and hospitals.</w:t>
      </w:r>
    </w:p>
    <w:p w14:paraId="57834D54" w14:textId="77777777" w:rsidR="00056AEE" w:rsidRDefault="00A00CB7" w:rsidP="003A38F8">
      <w:pPr>
        <w:pStyle w:val="Paragraphedeliste"/>
        <w:numPr>
          <w:ilvl w:val="0"/>
          <w:numId w:val="52"/>
        </w:numPr>
      </w:pPr>
      <w:r>
        <w:rPr>
          <w:color w:val="000000"/>
        </w:rPr>
        <w:lastRenderedPageBreak/>
        <w:t>Assess the process and methods developed for their regulatory validity and utility (for example standardised assays), taking into consideration the potential regulatory impact of the results and, as relevant, develop a regulatory strategy for generating appropriate evidence as well as engaging with regulators in a timely manner.</w:t>
      </w:r>
    </w:p>
    <w:p w14:paraId="633A812E" w14:textId="77777777" w:rsidR="00056AEE" w:rsidRDefault="00A00CB7" w:rsidP="003A38F8">
      <w:pPr>
        <w:pStyle w:val="Paragraphedeliste"/>
        <w:numPr>
          <w:ilvl w:val="0"/>
          <w:numId w:val="52"/>
        </w:numPr>
      </w:pPr>
      <w:r>
        <w:rPr>
          <w:color w:val="000000"/>
        </w:rPr>
        <w:t xml:space="preserve">Promote green and sustainable industrial production and minimise environmental impact. </w:t>
      </w:r>
    </w:p>
    <w:p w14:paraId="567AB09B" w14:textId="77777777" w:rsidR="00056AEE" w:rsidRDefault="00A00CB7">
      <w:r>
        <w:rPr>
          <w:color w:val="000000"/>
        </w:rPr>
        <w:t>Participation of small and medium-size enterprises (SMEs) is strongly encouraged.</w:t>
      </w:r>
    </w:p>
    <w:p w14:paraId="3BD5FD8E" w14:textId="77777777" w:rsidR="00056AEE" w:rsidRDefault="00A00CB7">
      <w:r>
        <w:rPr>
          <w:color w:val="000000"/>
        </w:rPr>
        <w:t>Where relevant, proposals are expected to plan synergies with the project funded under the Coordination and Support Action (CSA) topic HORIZON-HLTH-2023-IND-06-05: “Mapping the hurdles for the clinical applications of Advanced Therapy Medicinal Products (ATMPs)”.</w:t>
      </w:r>
    </w:p>
    <w:p w14:paraId="1B6D02DC" w14:textId="77777777" w:rsidR="00056AEE" w:rsidRDefault="00A00CB7">
      <w:r>
        <w:rPr>
          <w:color w:val="000000"/>
        </w:rPr>
        <w:t>The Joint Research Centre (JRC) may participate as a member of the consortium selected for funding. Proposals should consider the involvement of the European Commission's JRC regarding its experience in this field and with respect to the value it could bring in providing an effective interface between research activities and pre-normative science as well as strategies and frameworks that address regulatory requirements. In that respect, the JRC will consider collaborating with any successful proposal and this collaboration, when relevant, should be established after the proposal’s approval.</w:t>
      </w:r>
    </w:p>
    <w:p w14:paraId="40137655"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45AF6E80" w14:textId="77777777" w:rsidR="00056AEE" w:rsidRDefault="00A00CB7">
      <w:pPr>
        <w:pStyle w:val="HeadingThree"/>
      </w:pPr>
      <w:bookmarkStart w:id="32" w:name="_Toc171689879"/>
      <w:r>
        <w:t>HORIZON-HLTH-2025-01-IND-02: Digitalisation of conformity assessment procedures of medical devices and in vitro diagnostic medical devices</w:t>
      </w:r>
      <w:bookmarkEnd w:id="3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30"/>
        <w:gridCol w:w="7142"/>
      </w:tblGrid>
      <w:tr w:rsidR="003A38F8" w14:paraId="07B44285" w14:textId="77777777" w:rsidTr="003A38F8">
        <w:tc>
          <w:tcPr>
            <w:tcW w:w="0" w:type="auto"/>
            <w:gridSpan w:val="2"/>
          </w:tcPr>
          <w:p w14:paraId="762EF33F" w14:textId="77777777" w:rsidR="00056AEE" w:rsidRDefault="00A00CB7">
            <w:pPr>
              <w:pStyle w:val="CellTextValue"/>
            </w:pPr>
            <w:r>
              <w:rPr>
                <w:b/>
              </w:rPr>
              <w:t>Call: Cluster 1 - Health (Single stage - 2025)</w:t>
            </w:r>
          </w:p>
        </w:tc>
      </w:tr>
      <w:tr w:rsidR="003A38F8" w14:paraId="6EB35E1F" w14:textId="77777777" w:rsidTr="003A38F8">
        <w:tc>
          <w:tcPr>
            <w:tcW w:w="0" w:type="auto"/>
            <w:gridSpan w:val="2"/>
          </w:tcPr>
          <w:p w14:paraId="29688D09" w14:textId="77777777" w:rsidR="00056AEE" w:rsidRDefault="00A00CB7">
            <w:pPr>
              <w:pStyle w:val="CellTextValue"/>
            </w:pPr>
            <w:r>
              <w:rPr>
                <w:b/>
              </w:rPr>
              <w:t>Specific conditions</w:t>
            </w:r>
          </w:p>
        </w:tc>
      </w:tr>
      <w:tr w:rsidR="00056AEE" w14:paraId="2061CCA3" w14:textId="77777777">
        <w:tc>
          <w:tcPr>
            <w:tcW w:w="0" w:type="auto"/>
          </w:tcPr>
          <w:p w14:paraId="722EB1CC" w14:textId="77777777" w:rsidR="00056AEE" w:rsidRDefault="00A00CB7">
            <w:pPr>
              <w:pStyle w:val="CellTextValue"/>
              <w:jc w:val="left"/>
            </w:pPr>
            <w:r>
              <w:rPr>
                <w:i/>
              </w:rPr>
              <w:t>Expected EU contribution per project</w:t>
            </w:r>
          </w:p>
        </w:tc>
        <w:tc>
          <w:tcPr>
            <w:tcW w:w="0" w:type="auto"/>
          </w:tcPr>
          <w:p w14:paraId="0467E250" w14:textId="77777777" w:rsidR="00056AEE" w:rsidRDefault="00A00CB7">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056AEE" w14:paraId="2268C5FA" w14:textId="77777777">
        <w:tc>
          <w:tcPr>
            <w:tcW w:w="0" w:type="auto"/>
          </w:tcPr>
          <w:p w14:paraId="62F45E2F" w14:textId="77777777" w:rsidR="00056AEE" w:rsidRDefault="00A00CB7">
            <w:pPr>
              <w:pStyle w:val="CellTextValue"/>
              <w:jc w:val="left"/>
            </w:pPr>
            <w:r>
              <w:rPr>
                <w:i/>
              </w:rPr>
              <w:t>Indicative budget</w:t>
            </w:r>
          </w:p>
        </w:tc>
        <w:tc>
          <w:tcPr>
            <w:tcW w:w="0" w:type="auto"/>
          </w:tcPr>
          <w:p w14:paraId="53CE0A2A" w14:textId="77777777" w:rsidR="00056AEE" w:rsidRDefault="00A00CB7">
            <w:pPr>
              <w:pStyle w:val="CellTextValue"/>
            </w:pPr>
            <w:r>
              <w:t>The total indicative budget for the topic is EUR 4.00 million.</w:t>
            </w:r>
          </w:p>
        </w:tc>
      </w:tr>
      <w:tr w:rsidR="00056AEE" w14:paraId="71E6F40B" w14:textId="77777777">
        <w:tc>
          <w:tcPr>
            <w:tcW w:w="0" w:type="auto"/>
          </w:tcPr>
          <w:p w14:paraId="287FBDB2" w14:textId="77777777" w:rsidR="00056AEE" w:rsidRDefault="00A00CB7">
            <w:pPr>
              <w:pStyle w:val="CellTextValue"/>
              <w:jc w:val="left"/>
            </w:pPr>
            <w:r>
              <w:rPr>
                <w:i/>
              </w:rPr>
              <w:t>Type of Action</w:t>
            </w:r>
          </w:p>
        </w:tc>
        <w:tc>
          <w:tcPr>
            <w:tcW w:w="0" w:type="auto"/>
          </w:tcPr>
          <w:p w14:paraId="479D2025" w14:textId="77777777" w:rsidR="00056AEE" w:rsidRDefault="00A00CB7">
            <w:pPr>
              <w:pStyle w:val="CellTextValue"/>
            </w:pPr>
            <w:r>
              <w:rPr>
                <w:color w:val="000000"/>
              </w:rPr>
              <w:t>Coordination and Support Actions</w:t>
            </w:r>
          </w:p>
        </w:tc>
      </w:tr>
      <w:tr w:rsidR="00056AEE" w14:paraId="097068C1" w14:textId="77777777">
        <w:tc>
          <w:tcPr>
            <w:tcW w:w="0" w:type="auto"/>
          </w:tcPr>
          <w:p w14:paraId="442D4A93" w14:textId="77777777" w:rsidR="00056AEE" w:rsidRDefault="00A00CB7">
            <w:pPr>
              <w:pStyle w:val="CellTextValue"/>
              <w:jc w:val="left"/>
            </w:pPr>
            <w:r>
              <w:rPr>
                <w:i/>
              </w:rPr>
              <w:t>Eligibility conditions</w:t>
            </w:r>
          </w:p>
        </w:tc>
        <w:tc>
          <w:tcPr>
            <w:tcW w:w="0" w:type="auto"/>
          </w:tcPr>
          <w:p w14:paraId="1892B78E" w14:textId="77777777" w:rsidR="00056AEE" w:rsidRDefault="00A00CB7">
            <w:pPr>
              <w:pStyle w:val="CellTextValue"/>
            </w:pPr>
            <w:r>
              <w:rPr>
                <w:color w:val="000000"/>
              </w:rPr>
              <w:t>The conditions are described in General Annex B. The following exceptions apply:</w:t>
            </w:r>
          </w:p>
          <w:p w14:paraId="4F98875F" w14:textId="77777777" w:rsidR="00056AEE" w:rsidRDefault="00A00CB7">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p w14:paraId="298E179D" w14:textId="77777777" w:rsidR="00056AEE" w:rsidRDefault="00A00CB7">
            <w:pPr>
              <w:pStyle w:val="CellTextValue"/>
            </w:pPr>
            <w:r>
              <w:rPr>
                <w:color w:val="000000"/>
              </w:rPr>
              <w:t xml:space="preserve">In recognition of the opening of the US National Institutes of Health’s programmes to European researchers, legal entities established in the United States of America may exceptionally participate as a beneficiary or affiliated </w:t>
            </w:r>
            <w:proofErr w:type="gramStart"/>
            <w:r>
              <w:rPr>
                <w:color w:val="000000"/>
              </w:rPr>
              <w:t>entity, and</w:t>
            </w:r>
            <w:proofErr w:type="gramEnd"/>
            <w:r>
              <w:rPr>
                <w:color w:val="000000"/>
              </w:rPr>
              <w:t xml:space="preserve"> are eligible to receive Union funding.</w:t>
            </w:r>
          </w:p>
          <w:p w14:paraId="4B2C9C2E" w14:textId="77777777" w:rsidR="00056AEE" w:rsidRDefault="00A00CB7">
            <w:r>
              <w:rPr>
                <w:color w:val="000000"/>
              </w:rPr>
              <w:t>Coordinators of projects must be legal entities established in an EU Member State or Associated Country.</w:t>
            </w:r>
          </w:p>
        </w:tc>
      </w:tr>
      <w:tr w:rsidR="00056AEE" w14:paraId="4105D5F5" w14:textId="77777777">
        <w:tc>
          <w:tcPr>
            <w:tcW w:w="0" w:type="auto"/>
          </w:tcPr>
          <w:p w14:paraId="386F7800" w14:textId="77777777" w:rsidR="00056AEE" w:rsidRDefault="00A00CB7">
            <w:pPr>
              <w:pStyle w:val="CellTextValue"/>
              <w:jc w:val="left"/>
            </w:pPr>
            <w:r>
              <w:rPr>
                <w:i/>
              </w:rPr>
              <w:lastRenderedPageBreak/>
              <w:t>Award criteria</w:t>
            </w:r>
          </w:p>
        </w:tc>
        <w:tc>
          <w:tcPr>
            <w:tcW w:w="0" w:type="auto"/>
          </w:tcPr>
          <w:p w14:paraId="275B6135" w14:textId="77777777" w:rsidR="00056AEE" w:rsidRDefault="00A00CB7">
            <w:pPr>
              <w:pStyle w:val="CellTextValue"/>
            </w:pPr>
            <w:r>
              <w:rPr>
                <w:color w:val="000000"/>
              </w:rPr>
              <w:t>The criteria are described in General Annex D. The following exceptions apply:</w:t>
            </w:r>
          </w:p>
          <w:p w14:paraId="77ACF37C" w14:textId="77777777" w:rsidR="00056AEE" w:rsidRDefault="00A00CB7">
            <w:pPr>
              <w:pStyle w:val="CellTextValue"/>
            </w:pPr>
            <w:r>
              <w:rPr>
                <w:color w:val="000000"/>
              </w:rPr>
              <w:t>The thresholds for each criterion will be 4 (Excellence), 4 (Impact) and 4 (Implementation). The cumulative threshold will be 12.</w:t>
            </w:r>
          </w:p>
        </w:tc>
      </w:tr>
    </w:tbl>
    <w:p w14:paraId="17EDDFDD" w14:textId="77777777" w:rsidR="00056AEE" w:rsidRDefault="00056AEE">
      <w:pPr>
        <w:spacing w:after="0" w:line="150" w:lineRule="auto"/>
      </w:pPr>
    </w:p>
    <w:p w14:paraId="1BB1DC2E"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tailored towards and contributing to all the following expected outcomes:</w:t>
      </w:r>
    </w:p>
    <w:p w14:paraId="1158A1B6" w14:textId="77777777" w:rsidR="00056AEE" w:rsidRDefault="00A00CB7" w:rsidP="003A38F8">
      <w:pPr>
        <w:pStyle w:val="Paragraphedeliste"/>
        <w:numPr>
          <w:ilvl w:val="0"/>
          <w:numId w:val="53"/>
        </w:numPr>
      </w:pPr>
      <w:r>
        <w:rPr>
          <w:color w:val="000000"/>
        </w:rPr>
        <w:t>Device</w:t>
      </w:r>
      <w:r>
        <w:rPr>
          <w:vertAlign w:val="superscript"/>
        </w:rPr>
        <w:footnoteReference w:id="156"/>
      </w:r>
      <w:r>
        <w:rPr>
          <w:color w:val="000000"/>
        </w:rPr>
        <w:t xml:space="preserve"> developers and manufacturers have access to digitalised conformity assessment procedures. These procedures will become more efficient, less onerous, and more predictable, which will reduce costs and shorten the time to market </w:t>
      </w:r>
      <w:proofErr w:type="gramStart"/>
      <w:r>
        <w:rPr>
          <w:color w:val="000000"/>
        </w:rPr>
        <w:t>access;</w:t>
      </w:r>
      <w:proofErr w:type="gramEnd"/>
    </w:p>
    <w:p w14:paraId="10408428" w14:textId="77777777" w:rsidR="00056AEE" w:rsidRDefault="00A00CB7" w:rsidP="003A38F8">
      <w:pPr>
        <w:pStyle w:val="Paragraphedeliste"/>
        <w:numPr>
          <w:ilvl w:val="0"/>
          <w:numId w:val="53"/>
        </w:numPr>
      </w:pPr>
      <w:r>
        <w:rPr>
          <w:color w:val="000000"/>
        </w:rPr>
        <w:t xml:space="preserve">Device developers and manufacturers, in particular small and medium-size enterprises (SMEs), can direct a larger part of their resources towards the research and development of innovative </w:t>
      </w:r>
      <w:proofErr w:type="gramStart"/>
      <w:r>
        <w:rPr>
          <w:color w:val="000000"/>
        </w:rPr>
        <w:t>devices;</w:t>
      </w:r>
      <w:proofErr w:type="gramEnd"/>
    </w:p>
    <w:p w14:paraId="161ABF7C" w14:textId="77777777" w:rsidR="00056AEE" w:rsidRDefault="00A00CB7" w:rsidP="003A38F8">
      <w:pPr>
        <w:pStyle w:val="Paragraphedeliste"/>
        <w:numPr>
          <w:ilvl w:val="0"/>
          <w:numId w:val="53"/>
        </w:numPr>
      </w:pPr>
      <w:r>
        <w:rPr>
          <w:color w:val="000000"/>
        </w:rPr>
        <w:t xml:space="preserve">The EU remains an attractive and business-friendly environment for device developers and manufacturers, making use of the opportunities of digitalisation. </w:t>
      </w:r>
    </w:p>
    <w:p w14:paraId="1B30C06E" w14:textId="77777777" w:rsidR="00056AEE" w:rsidRDefault="00A00CB7">
      <w:r>
        <w:rPr>
          <w:u w:val="single"/>
        </w:rPr>
        <w:t>Scope</w:t>
      </w:r>
      <w:r>
        <w:t xml:space="preserve">: </w:t>
      </w:r>
      <w:r>
        <w:rPr>
          <w:color w:val="000000"/>
        </w:rPr>
        <w:t xml:space="preserve">The regulations on Medical Devices (MDR) and </w:t>
      </w:r>
      <w:r>
        <w:rPr>
          <w:i/>
          <w:color w:val="000000"/>
        </w:rPr>
        <w:t xml:space="preserve">In Vitro </w:t>
      </w:r>
      <w:r>
        <w:rPr>
          <w:color w:val="000000"/>
        </w:rPr>
        <w:t xml:space="preserve">Medical Devices (IVDR) have introduced stricter regulatory requirements in view of ensuring a high level of patient safety and public health. While the positive impact on patient safety and public health is well recognised by the various actors in the field, the implementation of the new regulatory requirements </w:t>
      </w:r>
      <w:proofErr w:type="gramStart"/>
      <w:r>
        <w:rPr>
          <w:color w:val="000000"/>
        </w:rPr>
        <w:t>still remains</w:t>
      </w:r>
      <w:proofErr w:type="gramEnd"/>
      <w:r>
        <w:rPr>
          <w:color w:val="000000"/>
        </w:rPr>
        <w:t xml:space="preserve"> a challenge for manufacturers. SMEs face </w:t>
      </w:r>
      <w:proofErr w:type="gramStart"/>
      <w:r>
        <w:rPr>
          <w:color w:val="000000"/>
        </w:rPr>
        <w:t>particular challenges</w:t>
      </w:r>
      <w:proofErr w:type="gramEnd"/>
      <w:r>
        <w:rPr>
          <w:color w:val="000000"/>
        </w:rPr>
        <w:t xml:space="preserve"> as they have limited resources to adapt to the new framework. One of the main issues reported by manufacturers is the complexity and perceived unpredictability of the conformity assessment procedure involving a Notified Body (NB).</w:t>
      </w:r>
    </w:p>
    <w:p w14:paraId="38530145" w14:textId="77777777" w:rsidR="00056AEE" w:rsidRDefault="00A00CB7">
      <w:r>
        <w:rPr>
          <w:color w:val="000000"/>
        </w:rPr>
        <w:t xml:space="preserve">The Medical Device Coordination Group (MDCG) assists the Commission and the Member States in ensuring a harmonised implementation of the MDR and IVDR, notably through the </w:t>
      </w:r>
      <w:r>
        <w:rPr>
          <w:color w:val="000000"/>
        </w:rPr>
        <w:lastRenderedPageBreak/>
        <w:t>development of guidance and templates. Notably, the conformity assessment procedures are still based on continuous exchange of highly complex technical documentation in an electronic format (e.g., pdf or excel files) between the key actors of NBs and manufacturers, requiring several iterations between them. Further digitalisation of this process (from document to data-driven processes) can bring greater efficiency, accuracy, and transparency and lead to a more predictable and harmonised assessment process. This is expected to reduce the administrative burden as well as certification timelines and facilitate the conformity assessment procedure for manufacturers, particularly SMEs. In turn, this will contribute to maintaining the EU as a business-friendly environment for all manufacturers, which will ultimately benefit patients. For example, digitalisation can lead to simplification through the reduction of administrative burden, use of a single-entry point for all exchange of information. According to an ongoing study on supporting the monitoring of the availability of medical devices in the EU market, incomplete submissions remain high according to a survey among NBs</w:t>
      </w:r>
      <w:r>
        <w:rPr>
          <w:vertAlign w:val="superscript"/>
        </w:rPr>
        <w:footnoteReference w:id="157"/>
      </w:r>
      <w:r>
        <w:rPr>
          <w:color w:val="000000"/>
        </w:rPr>
        <w:t>. Potential improvements related to digitalisation can include pre-defining mandatory data elements, the possibility of getting alerts on whether data is complete, the identification of missing parts and inconsistencies and a reduction of error rates in this regard. Overall improved communication would be anticipated with digitalisation.</w:t>
      </w:r>
    </w:p>
    <w:p w14:paraId="63648E94" w14:textId="77777777" w:rsidR="00056AEE" w:rsidRDefault="00A00CB7">
      <w:r>
        <w:rPr>
          <w:color w:val="000000"/>
        </w:rPr>
        <w:t>Any actions as part of the proposal will be performed under the current regulatory framework and will not involve changing MDR/IVDR requirements. Proposals should present a major step towards digitalisation in Europe and Associated Countries. Governance of a potential IT infrastructure developed in Europe and Associated Countries is outside the scope of the topic.</w:t>
      </w:r>
    </w:p>
    <w:p w14:paraId="23BEADCB" w14:textId="77777777" w:rsidR="00056AEE" w:rsidRDefault="00A00CB7">
      <w:r>
        <w:rPr>
          <w:color w:val="000000"/>
        </w:rPr>
        <w:t>The proposals should cover all the following points:</w:t>
      </w:r>
    </w:p>
    <w:p w14:paraId="651DF90B" w14:textId="77777777" w:rsidR="00056AEE" w:rsidRDefault="00A00CB7" w:rsidP="003A38F8">
      <w:pPr>
        <w:pStyle w:val="Paragraphedeliste"/>
        <w:numPr>
          <w:ilvl w:val="0"/>
          <w:numId w:val="54"/>
        </w:numPr>
      </w:pPr>
      <w:r>
        <w:rPr>
          <w:color w:val="000000"/>
        </w:rPr>
        <w:t xml:space="preserve">all steps of the MDR/IVDR procedures, from manufacturer’s preparation of technical documentation and other pre-application activities for certification to issuance of </w:t>
      </w:r>
      <w:proofErr w:type="gramStart"/>
      <w:r>
        <w:rPr>
          <w:color w:val="000000"/>
        </w:rPr>
        <w:t>a</w:t>
      </w:r>
      <w:proofErr w:type="gramEnd"/>
      <w:r>
        <w:rPr>
          <w:color w:val="000000"/>
        </w:rPr>
        <w:t xml:space="preserve"> MDR/IVDR certificate by a NB;</w:t>
      </w:r>
    </w:p>
    <w:p w14:paraId="49E812F5" w14:textId="77777777" w:rsidR="00056AEE" w:rsidRDefault="00A00CB7" w:rsidP="003A38F8">
      <w:pPr>
        <w:pStyle w:val="Paragraphedeliste"/>
        <w:numPr>
          <w:ilvl w:val="0"/>
          <w:numId w:val="54"/>
        </w:numPr>
      </w:pPr>
      <w:r>
        <w:rPr>
          <w:color w:val="000000"/>
        </w:rPr>
        <w:t xml:space="preserve">all actors involved in the conformity assessment procedure, including manufacturers, NBs, EU reference laboratories, expert panels of medical devices, as well as agencies involved in the consultation </w:t>
      </w:r>
      <w:proofErr w:type="gramStart"/>
      <w:r>
        <w:rPr>
          <w:color w:val="000000"/>
        </w:rPr>
        <w:t>activities;</w:t>
      </w:r>
      <w:proofErr w:type="gramEnd"/>
    </w:p>
    <w:p w14:paraId="672C136C" w14:textId="77777777" w:rsidR="00056AEE" w:rsidRDefault="00A00CB7" w:rsidP="003A38F8">
      <w:pPr>
        <w:pStyle w:val="Paragraphedeliste"/>
        <w:numPr>
          <w:ilvl w:val="0"/>
          <w:numId w:val="54"/>
        </w:numPr>
      </w:pPr>
      <w:r>
        <w:rPr>
          <w:color w:val="000000"/>
        </w:rPr>
        <w:t xml:space="preserve">a good representation of different NBs, including representation from small and large NBs, public and private NBs and a representative mix focusing on medical devices and </w:t>
      </w:r>
      <w:r>
        <w:rPr>
          <w:i/>
          <w:color w:val="000000"/>
        </w:rPr>
        <w:t>in vitro</w:t>
      </w:r>
      <w:r>
        <w:rPr>
          <w:color w:val="000000"/>
        </w:rPr>
        <w:t xml:space="preserve"> diagnostic medical devices. The proposal should put a strong focus on consensus building activities between the different stakeholders involved. </w:t>
      </w:r>
    </w:p>
    <w:p w14:paraId="20F20EF2" w14:textId="77777777" w:rsidR="00056AEE" w:rsidRDefault="00A00CB7">
      <w:r>
        <w:rPr>
          <w:color w:val="000000"/>
        </w:rPr>
        <w:t>The proposals should address all the following activities:</w:t>
      </w:r>
    </w:p>
    <w:p w14:paraId="0134254C" w14:textId="77777777" w:rsidR="00056AEE" w:rsidRDefault="00A00CB7" w:rsidP="003A38F8">
      <w:pPr>
        <w:pStyle w:val="Paragraphedeliste"/>
        <w:numPr>
          <w:ilvl w:val="0"/>
          <w:numId w:val="55"/>
        </w:numPr>
      </w:pPr>
      <w:r>
        <w:rPr>
          <w:color w:val="000000"/>
        </w:rPr>
        <w:t xml:space="preserve">Feasibility study       </w:t>
      </w:r>
    </w:p>
    <w:p w14:paraId="48877DBF" w14:textId="77777777" w:rsidR="00056AEE" w:rsidRDefault="00A00CB7" w:rsidP="003A38F8">
      <w:pPr>
        <w:pStyle w:val="Paragraphedeliste"/>
        <w:numPr>
          <w:ilvl w:val="1"/>
          <w:numId w:val="55"/>
        </w:numPr>
      </w:pPr>
      <w:r>
        <w:rPr>
          <w:color w:val="000000"/>
        </w:rPr>
        <w:lastRenderedPageBreak/>
        <w:t xml:space="preserve">Review existing initiatives aimed at digitalising MDR/IVDR conformity assessment procedures, or part thereof, and investigate digitalisation of conformity assessment/approval procedures for devices in other jurisdictions (e.g., US Food and Drug Administration). Consider lessons learned from digitalising conformity assessment procedures in other areas than medical devices.   </w:t>
      </w:r>
    </w:p>
    <w:p w14:paraId="10EFD784" w14:textId="77777777" w:rsidR="00056AEE" w:rsidRDefault="00A00CB7" w:rsidP="003A38F8">
      <w:pPr>
        <w:pStyle w:val="Paragraphedeliste"/>
        <w:numPr>
          <w:ilvl w:val="1"/>
          <w:numId w:val="55"/>
        </w:numPr>
      </w:pPr>
      <w:r>
        <w:rPr>
          <w:color w:val="000000"/>
        </w:rPr>
        <w:t xml:space="preserve">Examine basic processes/workflows established by individual NBs.   </w:t>
      </w:r>
    </w:p>
    <w:p w14:paraId="5C2B9AB3" w14:textId="77777777" w:rsidR="00056AEE" w:rsidRDefault="00A00CB7" w:rsidP="003A38F8">
      <w:pPr>
        <w:pStyle w:val="Paragraphedeliste"/>
        <w:numPr>
          <w:ilvl w:val="1"/>
          <w:numId w:val="55"/>
        </w:numPr>
      </w:pPr>
      <w:r>
        <w:rPr>
          <w:color w:val="000000"/>
        </w:rPr>
        <w:t xml:space="preserve">Identify main steps of the conformity assessment procedure to be digitalised, actors involved, and essential elements and requirements to be considered prior to digitalisation.   </w:t>
      </w:r>
    </w:p>
    <w:p w14:paraId="0FDAA444" w14:textId="77777777" w:rsidR="00056AEE" w:rsidRDefault="00A00CB7" w:rsidP="003A38F8">
      <w:pPr>
        <w:pStyle w:val="Paragraphedeliste"/>
        <w:numPr>
          <w:ilvl w:val="1"/>
          <w:numId w:val="55"/>
        </w:numPr>
      </w:pPr>
      <w:r>
        <w:rPr>
          <w:color w:val="000000"/>
        </w:rPr>
        <w:t xml:space="preserve">Collect and analyse feedback from main stakeholders on challenges and feasibility of the digitalisation process, identify interoperability with existing workflows used by manufacturers and/or NBs.   </w:t>
      </w:r>
    </w:p>
    <w:p w14:paraId="51DC7302" w14:textId="77777777" w:rsidR="00056AEE" w:rsidRDefault="00A00CB7" w:rsidP="003A38F8">
      <w:pPr>
        <w:pStyle w:val="Paragraphedeliste"/>
        <w:numPr>
          <w:ilvl w:val="1"/>
          <w:numId w:val="55"/>
        </w:numPr>
      </w:pPr>
      <w:r>
        <w:rPr>
          <w:color w:val="000000"/>
        </w:rPr>
        <w:t xml:space="preserve">Determine technical specifications required for the digitalisation as well as the possible options regarding digital transformation platforms.   </w:t>
      </w:r>
    </w:p>
    <w:p w14:paraId="1134F74F" w14:textId="77777777" w:rsidR="00056AEE" w:rsidRDefault="00A00CB7" w:rsidP="003A38F8">
      <w:pPr>
        <w:pStyle w:val="Paragraphedeliste"/>
        <w:numPr>
          <w:ilvl w:val="1"/>
          <w:numId w:val="55"/>
        </w:numPr>
      </w:pPr>
      <w:r>
        <w:rPr>
          <w:color w:val="000000"/>
        </w:rPr>
        <w:t xml:space="preserve">Analyse facilitating factors, main challenges, possible solutions and required resources.  </w:t>
      </w:r>
    </w:p>
    <w:p w14:paraId="38005489" w14:textId="77777777" w:rsidR="00056AEE" w:rsidRDefault="00A00CB7" w:rsidP="003A38F8">
      <w:pPr>
        <w:pStyle w:val="Paragraphedeliste"/>
        <w:numPr>
          <w:ilvl w:val="0"/>
          <w:numId w:val="55"/>
        </w:numPr>
      </w:pPr>
      <w:r>
        <w:rPr>
          <w:color w:val="000000"/>
        </w:rPr>
        <w:t xml:space="preserve">Pilot       </w:t>
      </w:r>
    </w:p>
    <w:p w14:paraId="7FB7E681" w14:textId="77777777" w:rsidR="00056AEE" w:rsidRDefault="00A00CB7" w:rsidP="003A38F8">
      <w:pPr>
        <w:pStyle w:val="Paragraphedeliste"/>
        <w:numPr>
          <w:ilvl w:val="1"/>
          <w:numId w:val="55"/>
        </w:numPr>
      </w:pPr>
      <w:r>
        <w:rPr>
          <w:color w:val="000000"/>
        </w:rPr>
        <w:t xml:space="preserve">Develop a pilot for the whole or part of the MDR/IVDR conformity assessment procedure, including Key Performance Indicators (KPI). This will involve collaboration with relevant stakeholders, including NBs, manufacturers, the Commission and other involved parties.   </w:t>
      </w:r>
    </w:p>
    <w:p w14:paraId="4D12E1CB" w14:textId="77777777" w:rsidR="00056AEE" w:rsidRDefault="00A00CB7" w:rsidP="003A38F8">
      <w:pPr>
        <w:pStyle w:val="Paragraphedeliste"/>
        <w:numPr>
          <w:ilvl w:val="1"/>
          <w:numId w:val="55"/>
        </w:numPr>
      </w:pPr>
      <w:r>
        <w:rPr>
          <w:color w:val="000000"/>
        </w:rPr>
        <w:t xml:space="preserve">Develop a dedicated platform to run the pilot or identify an existing platform suitable for the pilot.  </w:t>
      </w:r>
    </w:p>
    <w:p w14:paraId="686CF732" w14:textId="77777777" w:rsidR="00056AEE" w:rsidRDefault="00A00CB7" w:rsidP="003A38F8">
      <w:pPr>
        <w:pStyle w:val="Paragraphedeliste"/>
        <w:numPr>
          <w:ilvl w:val="0"/>
          <w:numId w:val="55"/>
        </w:numPr>
      </w:pPr>
      <w:r>
        <w:rPr>
          <w:color w:val="000000"/>
        </w:rPr>
        <w:t xml:space="preserve">Roadmap towards digitalisation        </w:t>
      </w:r>
    </w:p>
    <w:p w14:paraId="375419D3" w14:textId="77777777" w:rsidR="00056AEE" w:rsidRDefault="00A00CB7" w:rsidP="003A38F8">
      <w:pPr>
        <w:pStyle w:val="Paragraphedeliste"/>
        <w:numPr>
          <w:ilvl w:val="1"/>
          <w:numId w:val="55"/>
        </w:numPr>
      </w:pPr>
      <w:r>
        <w:rPr>
          <w:color w:val="000000"/>
        </w:rPr>
        <w:t xml:space="preserve">Based on the lessons learned from the pilot, identify different steps to scale-up the pilot </w:t>
      </w:r>
      <w:proofErr w:type="gramStart"/>
      <w:r>
        <w:rPr>
          <w:color w:val="000000"/>
        </w:rPr>
        <w:t>in order to</w:t>
      </w:r>
      <w:proofErr w:type="gramEnd"/>
      <w:r>
        <w:rPr>
          <w:color w:val="000000"/>
        </w:rPr>
        <w:t xml:space="preserve"> digitalise MDR/IVDR conformity assessment procedures, or part of them. Identify associated challenges and possible solutions to address these.   </w:t>
      </w:r>
    </w:p>
    <w:p w14:paraId="306F7345" w14:textId="77777777" w:rsidR="00056AEE" w:rsidRDefault="00A00CB7" w:rsidP="003A38F8">
      <w:pPr>
        <w:pStyle w:val="Paragraphedeliste"/>
        <w:numPr>
          <w:ilvl w:val="1"/>
          <w:numId w:val="55"/>
        </w:numPr>
      </w:pPr>
      <w:r>
        <w:rPr>
          <w:color w:val="000000"/>
        </w:rPr>
        <w:t xml:space="preserve">Present a roadmap to the piloted approach, including possible alternatives, covering actors involved and resources needed.  </w:t>
      </w:r>
    </w:p>
    <w:p w14:paraId="3EA5D9B6" w14:textId="77777777" w:rsidR="00056AEE" w:rsidRDefault="00A00CB7">
      <w:pPr>
        <w:pStyle w:val="HeadingThree"/>
      </w:pPr>
      <w:bookmarkStart w:id="33" w:name="_Toc171689880"/>
      <w:r>
        <w:t>HORIZON-HLTH-2025-01-IND-03: Facilitating the conduct of multinational clinical studies of orphan devices and/or of highly innovative (“breakthrough”) devices</w:t>
      </w:r>
      <w:bookmarkEnd w:id="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3A38F8" w14:paraId="3C2E1191" w14:textId="77777777" w:rsidTr="003A38F8">
        <w:tc>
          <w:tcPr>
            <w:tcW w:w="0" w:type="auto"/>
            <w:gridSpan w:val="2"/>
          </w:tcPr>
          <w:p w14:paraId="7B9DE511" w14:textId="77777777" w:rsidR="00056AEE" w:rsidRDefault="00A00CB7">
            <w:pPr>
              <w:pStyle w:val="CellTextValue"/>
            </w:pPr>
            <w:r>
              <w:rPr>
                <w:b/>
              </w:rPr>
              <w:t>Call: Cluster 1 - Health (Single stage - 2025)</w:t>
            </w:r>
          </w:p>
        </w:tc>
      </w:tr>
      <w:tr w:rsidR="003A38F8" w14:paraId="023149F5" w14:textId="77777777" w:rsidTr="003A38F8">
        <w:tc>
          <w:tcPr>
            <w:tcW w:w="0" w:type="auto"/>
            <w:gridSpan w:val="2"/>
          </w:tcPr>
          <w:p w14:paraId="4E64C137" w14:textId="77777777" w:rsidR="00056AEE" w:rsidRDefault="00A00CB7">
            <w:pPr>
              <w:pStyle w:val="CellTextValue"/>
            </w:pPr>
            <w:r>
              <w:rPr>
                <w:b/>
              </w:rPr>
              <w:t>Specific conditions</w:t>
            </w:r>
          </w:p>
        </w:tc>
      </w:tr>
      <w:tr w:rsidR="00056AEE" w14:paraId="58DF1795" w14:textId="77777777">
        <w:tc>
          <w:tcPr>
            <w:tcW w:w="0" w:type="auto"/>
          </w:tcPr>
          <w:p w14:paraId="37EEE25E" w14:textId="77777777" w:rsidR="00056AEE" w:rsidRDefault="00A00CB7">
            <w:pPr>
              <w:pStyle w:val="CellTextValue"/>
              <w:jc w:val="left"/>
            </w:pPr>
            <w:r>
              <w:rPr>
                <w:i/>
              </w:rPr>
              <w:lastRenderedPageBreak/>
              <w:t>Expected EU contribution per project</w:t>
            </w:r>
          </w:p>
        </w:tc>
        <w:tc>
          <w:tcPr>
            <w:tcW w:w="0" w:type="auto"/>
          </w:tcPr>
          <w:p w14:paraId="626F09FD" w14:textId="77777777" w:rsidR="00056AEE" w:rsidRDefault="00A00CB7">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056AEE" w14:paraId="14A46F81" w14:textId="77777777">
        <w:tc>
          <w:tcPr>
            <w:tcW w:w="0" w:type="auto"/>
          </w:tcPr>
          <w:p w14:paraId="0198A5D2" w14:textId="77777777" w:rsidR="00056AEE" w:rsidRDefault="00A00CB7">
            <w:pPr>
              <w:pStyle w:val="CellTextValue"/>
              <w:jc w:val="left"/>
            </w:pPr>
            <w:r>
              <w:rPr>
                <w:i/>
              </w:rPr>
              <w:t>Indicative budget</w:t>
            </w:r>
          </w:p>
        </w:tc>
        <w:tc>
          <w:tcPr>
            <w:tcW w:w="0" w:type="auto"/>
          </w:tcPr>
          <w:p w14:paraId="581E11F9" w14:textId="77777777" w:rsidR="00056AEE" w:rsidRDefault="00A00CB7">
            <w:pPr>
              <w:pStyle w:val="CellTextValue"/>
            </w:pPr>
            <w:r>
              <w:t>The total indicative budget for the topic is EUR 30.00 million.</w:t>
            </w:r>
          </w:p>
        </w:tc>
      </w:tr>
      <w:tr w:rsidR="00056AEE" w14:paraId="3698CADA" w14:textId="77777777">
        <w:tc>
          <w:tcPr>
            <w:tcW w:w="0" w:type="auto"/>
          </w:tcPr>
          <w:p w14:paraId="035651FA" w14:textId="77777777" w:rsidR="00056AEE" w:rsidRDefault="00A00CB7">
            <w:pPr>
              <w:pStyle w:val="CellTextValue"/>
              <w:jc w:val="left"/>
            </w:pPr>
            <w:r>
              <w:rPr>
                <w:i/>
              </w:rPr>
              <w:t>Type of Action</w:t>
            </w:r>
          </w:p>
        </w:tc>
        <w:tc>
          <w:tcPr>
            <w:tcW w:w="0" w:type="auto"/>
          </w:tcPr>
          <w:p w14:paraId="21939A72" w14:textId="77777777" w:rsidR="00056AEE" w:rsidRDefault="00A00CB7">
            <w:pPr>
              <w:pStyle w:val="CellTextValue"/>
            </w:pPr>
            <w:r>
              <w:rPr>
                <w:color w:val="000000"/>
              </w:rPr>
              <w:t>Research and Innovation Actions</w:t>
            </w:r>
          </w:p>
        </w:tc>
      </w:tr>
      <w:tr w:rsidR="00056AEE" w14:paraId="494E6969" w14:textId="77777777">
        <w:tc>
          <w:tcPr>
            <w:tcW w:w="0" w:type="auto"/>
          </w:tcPr>
          <w:p w14:paraId="1EAAD2F5" w14:textId="77777777" w:rsidR="00056AEE" w:rsidRDefault="00A00CB7">
            <w:pPr>
              <w:pStyle w:val="CellTextValue"/>
              <w:jc w:val="left"/>
            </w:pPr>
            <w:r>
              <w:rPr>
                <w:i/>
              </w:rPr>
              <w:t>Eligibility conditions</w:t>
            </w:r>
          </w:p>
        </w:tc>
        <w:tc>
          <w:tcPr>
            <w:tcW w:w="0" w:type="auto"/>
          </w:tcPr>
          <w:p w14:paraId="1A6BB89A" w14:textId="77777777" w:rsidR="00056AEE" w:rsidRDefault="00A00CB7">
            <w:pPr>
              <w:pStyle w:val="CellTextValue"/>
            </w:pPr>
            <w:r>
              <w:rPr>
                <w:color w:val="000000"/>
              </w:rPr>
              <w:t>The conditions are described in General Annex B. The following exceptions apply:</w:t>
            </w:r>
          </w:p>
          <w:p w14:paraId="3195BD3E" w14:textId="77777777" w:rsidR="00056AEE" w:rsidRDefault="00A00CB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889D06F" w14:textId="77777777" w:rsidR="00056AEE" w:rsidRDefault="00A00CB7">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3A0E1528" w14:textId="77777777" w:rsidR="00056AEE" w:rsidRDefault="00A00CB7">
            <w:pPr>
              <w:pStyle w:val="CellTextValue"/>
            </w:pPr>
            <w:r>
              <w:rPr>
                <w:color w:val="000000"/>
              </w:rPr>
              <w:t>The Joint Research Centre (JRC) may participate as member of the consortium selected for funding.</w:t>
            </w:r>
          </w:p>
        </w:tc>
      </w:tr>
      <w:tr w:rsidR="00056AEE" w14:paraId="4BC76CBC" w14:textId="77777777">
        <w:tc>
          <w:tcPr>
            <w:tcW w:w="0" w:type="auto"/>
          </w:tcPr>
          <w:p w14:paraId="602EBEBA" w14:textId="77777777" w:rsidR="00056AEE" w:rsidRDefault="00A00CB7">
            <w:pPr>
              <w:pStyle w:val="CellTextValue"/>
              <w:jc w:val="left"/>
            </w:pPr>
            <w:r>
              <w:rPr>
                <w:i/>
              </w:rPr>
              <w:t>Award criteria</w:t>
            </w:r>
          </w:p>
        </w:tc>
        <w:tc>
          <w:tcPr>
            <w:tcW w:w="0" w:type="auto"/>
          </w:tcPr>
          <w:p w14:paraId="7C57E0C0" w14:textId="77777777" w:rsidR="00056AEE" w:rsidRDefault="00A00CB7">
            <w:pPr>
              <w:pStyle w:val="CellTextValue"/>
            </w:pPr>
            <w:r>
              <w:rPr>
                <w:color w:val="000000"/>
              </w:rPr>
              <w:t>The criteria are described in General Annex D. The following exceptions apply:</w:t>
            </w:r>
          </w:p>
          <w:p w14:paraId="52561744" w14:textId="77777777" w:rsidR="00056AEE" w:rsidRDefault="00A00CB7">
            <w:pPr>
              <w:pStyle w:val="CellTextValue"/>
            </w:pPr>
            <w:r>
              <w:rPr>
                <w:color w:val="000000"/>
              </w:rPr>
              <w:t>The thresholds for each criterion will be 4 (Excellence), 4 (Impact) and 4 (Implementation). The cumulative threshold will be 12.</w:t>
            </w:r>
          </w:p>
        </w:tc>
      </w:tr>
    </w:tbl>
    <w:p w14:paraId="3CA34AC1" w14:textId="77777777" w:rsidR="00056AEE" w:rsidRDefault="00056AEE">
      <w:pPr>
        <w:spacing w:after="0" w:line="150" w:lineRule="auto"/>
      </w:pPr>
    </w:p>
    <w:p w14:paraId="5F779B83" w14:textId="77777777" w:rsidR="00056AEE" w:rsidRDefault="00A00CB7">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tailored towards and contributing to all the following expected outcomes:</w:t>
      </w:r>
    </w:p>
    <w:p w14:paraId="0A95E2C9" w14:textId="77777777" w:rsidR="00056AEE" w:rsidRDefault="00A00CB7" w:rsidP="003A38F8">
      <w:pPr>
        <w:pStyle w:val="Paragraphedeliste"/>
        <w:numPr>
          <w:ilvl w:val="0"/>
          <w:numId w:val="56"/>
        </w:numPr>
      </w:pPr>
      <w:r>
        <w:rPr>
          <w:color w:val="000000"/>
        </w:rPr>
        <w:t>Healthcare providers increase their hands-on experience regarding the clinical use of orphan devices</w:t>
      </w:r>
      <w:r>
        <w:rPr>
          <w:vertAlign w:val="superscript"/>
        </w:rPr>
        <w:footnoteReference w:id="158"/>
      </w:r>
      <w:r>
        <w:rPr>
          <w:color w:val="000000"/>
        </w:rPr>
        <w:t xml:space="preserve"> and/or of highly innovative (“breakthrough”) devices and get timely access to such devices with demonstrated clinical </w:t>
      </w:r>
      <w:proofErr w:type="gramStart"/>
      <w:r>
        <w:rPr>
          <w:color w:val="000000"/>
        </w:rPr>
        <w:t>benefits;</w:t>
      </w:r>
      <w:proofErr w:type="gramEnd"/>
    </w:p>
    <w:p w14:paraId="3329E59A" w14:textId="77777777" w:rsidR="00056AEE" w:rsidRDefault="00A00CB7" w:rsidP="003A38F8">
      <w:pPr>
        <w:pStyle w:val="Paragraphedeliste"/>
        <w:numPr>
          <w:ilvl w:val="0"/>
          <w:numId w:val="56"/>
        </w:numPr>
      </w:pPr>
      <w:r>
        <w:rPr>
          <w:color w:val="000000"/>
        </w:rPr>
        <w:t xml:space="preserve">Developers and manufacturers collect and obtain scientific evidence on their proposed intervention/ approach with the device under </w:t>
      </w:r>
      <w:proofErr w:type="gramStart"/>
      <w:r>
        <w:rPr>
          <w:color w:val="000000"/>
        </w:rPr>
        <w:t>investigation;</w:t>
      </w:r>
      <w:proofErr w:type="gramEnd"/>
    </w:p>
    <w:p w14:paraId="695A21B4" w14:textId="77777777" w:rsidR="00056AEE" w:rsidRDefault="00A00CB7" w:rsidP="003A38F8">
      <w:pPr>
        <w:pStyle w:val="Paragraphedeliste"/>
        <w:numPr>
          <w:ilvl w:val="0"/>
          <w:numId w:val="56"/>
        </w:numPr>
      </w:pPr>
      <w:r>
        <w:rPr>
          <w:color w:val="000000"/>
        </w:rPr>
        <w:t xml:space="preserve">Patients benefit from the development, studies and use of orphan devices and/or of highly innovative (“breakthrough”) </w:t>
      </w:r>
      <w:proofErr w:type="gramStart"/>
      <w:r>
        <w:rPr>
          <w:color w:val="000000"/>
        </w:rPr>
        <w:t>devices;</w:t>
      </w:r>
      <w:proofErr w:type="gramEnd"/>
    </w:p>
    <w:p w14:paraId="41CBF1A6" w14:textId="77777777" w:rsidR="00056AEE" w:rsidRDefault="00A00CB7" w:rsidP="003A38F8">
      <w:pPr>
        <w:pStyle w:val="Paragraphedeliste"/>
        <w:numPr>
          <w:ilvl w:val="0"/>
          <w:numId w:val="56"/>
        </w:numPr>
      </w:pPr>
      <w:r>
        <w:rPr>
          <w:color w:val="000000"/>
        </w:rPr>
        <w:lastRenderedPageBreak/>
        <w:t xml:space="preserve">Companies in the EU and associated countries get a better market position in this field and improve their knowledge on how to conduct multinational clinical studies for these devices. </w:t>
      </w:r>
    </w:p>
    <w:p w14:paraId="48023F6D" w14:textId="77777777" w:rsidR="00056AEE" w:rsidRDefault="00A00CB7">
      <w:r>
        <w:rPr>
          <w:u w:val="single"/>
        </w:rPr>
        <w:t>Scope</w:t>
      </w:r>
      <w:r>
        <w:t xml:space="preserve">: </w:t>
      </w:r>
      <w:r>
        <w:rPr>
          <w:color w:val="000000"/>
        </w:rPr>
        <w:t>The focus of this topic is on multinational clinical studies</w:t>
      </w:r>
      <w:r>
        <w:rPr>
          <w:vertAlign w:val="superscript"/>
        </w:rPr>
        <w:footnoteReference w:id="159"/>
      </w:r>
      <w:r>
        <w:rPr>
          <w:color w:val="000000"/>
        </w:rPr>
        <w:t xml:space="preserve"> of orphan devices</w:t>
      </w:r>
      <w:r>
        <w:rPr>
          <w:vertAlign w:val="superscript"/>
        </w:rPr>
        <w:footnoteReference w:id="160"/>
      </w:r>
      <w:r>
        <w:rPr>
          <w:color w:val="000000"/>
        </w:rPr>
        <w:t xml:space="preserve"> and/or of highly innovative (“breakthrough”) devices, including digital and Artificial Intelligence (AI) based tools and techniques.</w:t>
      </w:r>
    </w:p>
    <w:p w14:paraId="19481570" w14:textId="77777777" w:rsidR="00056AEE" w:rsidRDefault="00A00CB7">
      <w:r>
        <w:rPr>
          <w:color w:val="000000"/>
        </w:rPr>
        <w:t xml:space="preserve">The emphasis within rare disease research and innovation has predominantly centred on pharmaceuticals, leaving a noticeable gap in the support for developing orphan devices. Orphan devices are specifically intended for use in rare diseases or conditions or in specific indications for rare cohorts of patients with an otherwise non-rare disease or condition. As, by their nature, orphan devices are intended for use in a small number of individuals each year, often infants and children, generating clinical data within an appropriate </w:t>
      </w:r>
      <w:proofErr w:type="gramStart"/>
      <w:r>
        <w:rPr>
          <w:color w:val="000000"/>
        </w:rPr>
        <w:t>period of time</w:t>
      </w:r>
      <w:proofErr w:type="gramEnd"/>
      <w:r>
        <w:rPr>
          <w:color w:val="000000"/>
        </w:rPr>
        <w:t xml:space="preserve"> and conducting clinical investigations is especially challenging due to low patient recruitment volumes.</w:t>
      </w:r>
    </w:p>
    <w:p w14:paraId="7D6B1F2F" w14:textId="77777777" w:rsidR="00056AEE" w:rsidRDefault="00A00CB7">
      <w:r>
        <w:rPr>
          <w:color w:val="000000"/>
        </w:rPr>
        <w:t>Besides orphan devices, also highly innovative (“breakthrough”) devices are in the scope of this topic if they are expected to provide major clinical benefits for the treatment, diagnosis or prevention of a life threatening, seriously debilitating or serious and chronic disease or condition, regardless of whether they target small patient populations. Highly innovative (“breakthrough”) devices</w:t>
      </w:r>
      <w:r>
        <w:rPr>
          <w:vertAlign w:val="superscript"/>
        </w:rPr>
        <w:footnoteReference w:id="161"/>
      </w:r>
      <w:r>
        <w:rPr>
          <w:color w:val="000000"/>
        </w:rPr>
        <w:t xml:space="preserve"> aim to address unmet medical needs. ‘Unmet medical needs’ should be understood as a condition for which there exists no satisfactory method of diagnosis, prevention or treatment in the EU or, even if such a method exists, in relation to which the device concerned will be of major therapeutic advantage to those affected</w:t>
      </w:r>
      <w:r>
        <w:rPr>
          <w:vertAlign w:val="superscript"/>
        </w:rPr>
        <w:footnoteReference w:id="162"/>
      </w:r>
      <w:r>
        <w:rPr>
          <w:color w:val="000000"/>
        </w:rPr>
        <w:t>.</w:t>
      </w:r>
      <w:r>
        <w:rPr>
          <w:color w:val="000000"/>
          <w:vertAlign w:val="superscript"/>
        </w:rPr>
        <w:t xml:space="preserve"> </w:t>
      </w:r>
      <w:r>
        <w:rPr>
          <w:color w:val="000000"/>
        </w:rPr>
        <w:t>Those may include devices using digital tools and AI based technologies.</w:t>
      </w:r>
    </w:p>
    <w:p w14:paraId="11984271" w14:textId="77777777" w:rsidR="00056AEE" w:rsidRDefault="00A00CB7">
      <w:r>
        <w:rPr>
          <w:color w:val="000000"/>
        </w:rPr>
        <w:t>Developers of such devices often face challenges to generate clinical data in the pre-market phase in a timely manner.</w:t>
      </w:r>
    </w:p>
    <w:p w14:paraId="19399FFA" w14:textId="77777777" w:rsidR="00056AEE" w:rsidRDefault="00A00CB7">
      <w:r>
        <w:rPr>
          <w:color w:val="000000"/>
        </w:rPr>
        <w:t xml:space="preserve">Time and cost of clinical data collection can adversely affect public health by significantly delaying the availability of devices needed to treat or diagnose rare diseases or conditions or </w:t>
      </w:r>
      <w:r>
        <w:rPr>
          <w:color w:val="000000"/>
        </w:rPr>
        <w:lastRenderedPageBreak/>
        <w:t>that may improve patient care or public health. Nonetheless, a high level of clinical evidence based on thorough clinical data is needed to ensure patient safety.</w:t>
      </w:r>
    </w:p>
    <w:p w14:paraId="52BAF2C4" w14:textId="77777777" w:rsidR="00056AEE" w:rsidRDefault="00A00CB7">
      <w:r>
        <w:rPr>
          <w:color w:val="000000"/>
        </w:rPr>
        <w:t>This topic aims to target those challenges, by supporting multinational studies aiming to gather pre- or post-market clinical data to demonstrate the device’s safety and performance (including determination of any undesirable side-effects and their acceptability when weighed against the expected clinical benefits). There exists a pressing demand among healthcare professionals, patients and their caregivers for the development, deployment and use of such devices. However, the development of such medical technologies, including those integrating AI solutions, remains limited. Many devices are used off-label to respond to this unmet need.</w:t>
      </w:r>
    </w:p>
    <w:p w14:paraId="690024D7" w14:textId="77777777" w:rsidR="00056AEE" w:rsidRDefault="00A00CB7">
      <w:r>
        <w:rPr>
          <w:color w:val="000000"/>
        </w:rPr>
        <w:t>Clinical development strategies for implementing multinational clinical studies have the potential to offer improved efficiency and to reach larger patient samples. Challenges may arise from the potential uncertainty regarding how regional disparities in regulatory, clinical, business, ethical and cultural practices may affect study design, conduct, data interpretation and various other outcomes.</w:t>
      </w:r>
    </w:p>
    <w:p w14:paraId="45922B90" w14:textId="77777777" w:rsidR="00056AEE" w:rsidRDefault="00A00CB7">
      <w:r>
        <w:rPr>
          <w:color w:val="000000"/>
        </w:rPr>
        <w:t xml:space="preserve">The proposals should demonstrate that they address all the following activities for a device that is an orphan device or a highly innovative “breakthrough” device (or both), at any point of the pre-or post-market stage, including the development stage, with the overall purpose to generate data in support of CE marking under the Regulations on medical devices (MDR) or </w:t>
      </w:r>
      <w:r>
        <w:rPr>
          <w:i/>
          <w:color w:val="000000"/>
        </w:rPr>
        <w:t>in vitro</w:t>
      </w:r>
      <w:r>
        <w:rPr>
          <w:color w:val="000000"/>
        </w:rPr>
        <w:t xml:space="preserve"> diagnostic medical devices (IVDR). Proposals may also include multiple devices, but the minimum requirement is one device:</w:t>
      </w:r>
    </w:p>
    <w:p w14:paraId="139E1CE4" w14:textId="77777777" w:rsidR="00056AEE" w:rsidRDefault="00A00CB7" w:rsidP="003A38F8">
      <w:pPr>
        <w:pStyle w:val="Paragraphedeliste"/>
        <w:numPr>
          <w:ilvl w:val="0"/>
          <w:numId w:val="57"/>
        </w:numPr>
      </w:pPr>
      <w:r>
        <w:rPr>
          <w:color w:val="000000"/>
        </w:rPr>
        <w:t>Design and conduct multinational clinical studies in a minimum of two different countries in the EU or Associated Countries, with a focus on orphan devices and/or highly innovative (“breakthrough”) devices, with a view to demonstrate the safety and clinical performance of the device(s) subject to the study.</w:t>
      </w:r>
    </w:p>
    <w:p w14:paraId="33C707AF" w14:textId="77777777" w:rsidR="00056AEE" w:rsidRDefault="00A00CB7" w:rsidP="003A38F8">
      <w:pPr>
        <w:pStyle w:val="Paragraphedeliste"/>
        <w:numPr>
          <w:ilvl w:val="0"/>
          <w:numId w:val="57"/>
        </w:numPr>
      </w:pPr>
      <w:r>
        <w:rPr>
          <w:color w:val="000000"/>
        </w:rPr>
        <w:t xml:space="preserve">Present a sound clinical study feasibility plan, including an appropriate patient selection and realistic recruitment plans at different sites, justified by scientific publications or preliminary results. Proposals should adopt a gender-sensitive and intersectional approach, considering individual characteristics such as gender, sex, disability and age. Additionally, socioeconomic, lifestyle and behavioural factors should be </w:t>
      </w:r>
      <w:proofErr w:type="gramStart"/>
      <w:r>
        <w:rPr>
          <w:color w:val="000000"/>
        </w:rPr>
        <w:t>taken into account</w:t>
      </w:r>
      <w:proofErr w:type="gramEnd"/>
      <w:r>
        <w:rPr>
          <w:color w:val="000000"/>
        </w:rPr>
        <w:t xml:space="preserve">. For this, the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757E8888" w14:textId="77777777" w:rsidR="00056AEE" w:rsidRDefault="00A00CB7" w:rsidP="003A38F8">
      <w:pPr>
        <w:pStyle w:val="Paragraphedeliste"/>
        <w:numPr>
          <w:ilvl w:val="0"/>
          <w:numId w:val="57"/>
        </w:numPr>
      </w:pPr>
      <w:r>
        <w:rPr>
          <w:color w:val="000000"/>
        </w:rPr>
        <w:t>Demonstrate potential clinical benefit</w:t>
      </w:r>
      <w:r>
        <w:rPr>
          <w:vertAlign w:val="superscript"/>
        </w:rPr>
        <w:footnoteReference w:id="163"/>
      </w:r>
      <w:r>
        <w:rPr>
          <w:color w:val="000000"/>
        </w:rPr>
        <w:t xml:space="preserve"> for patients and healthcare providers, including quality of life and consideration of patient-reported outcomes when relevant.</w:t>
      </w:r>
    </w:p>
    <w:p w14:paraId="1248BFF2" w14:textId="77777777" w:rsidR="00056AEE" w:rsidRDefault="00A00CB7" w:rsidP="003A38F8">
      <w:pPr>
        <w:pStyle w:val="Paragraphedeliste"/>
        <w:numPr>
          <w:ilvl w:val="0"/>
          <w:numId w:val="57"/>
        </w:numPr>
      </w:pPr>
      <w:r>
        <w:rPr>
          <w:color w:val="000000"/>
        </w:rPr>
        <w:lastRenderedPageBreak/>
        <w:t>Involve patients, patient organisations, carers and healthcare professionals in the design of the clinical studies.</w:t>
      </w:r>
    </w:p>
    <w:p w14:paraId="0BF8682E" w14:textId="77777777" w:rsidR="00056AEE" w:rsidRDefault="00A00CB7" w:rsidP="003A38F8">
      <w:pPr>
        <w:pStyle w:val="Paragraphedeliste"/>
        <w:numPr>
          <w:ilvl w:val="0"/>
          <w:numId w:val="57"/>
        </w:numPr>
      </w:pPr>
      <w:r>
        <w:rPr>
          <w:color w:val="000000"/>
        </w:rPr>
        <w:t>Identify, collect and record relevant good practices and experiences related to the design, conduct, sample handling, data analysis and results reporting of multinational clinical studies. In addition, provide appropriate recommendations and lessons learned.</w:t>
      </w:r>
    </w:p>
    <w:p w14:paraId="53C16834" w14:textId="77777777" w:rsidR="00056AEE" w:rsidRDefault="00A00CB7" w:rsidP="003A38F8">
      <w:pPr>
        <w:pStyle w:val="Paragraphedeliste"/>
        <w:numPr>
          <w:ilvl w:val="0"/>
          <w:numId w:val="57"/>
        </w:numPr>
      </w:pPr>
      <w:r>
        <w:rPr>
          <w:color w:val="000000"/>
        </w:rPr>
        <w:t>For multinational clinical studies, authorisation for the study approval by more than one national competent authority may be necessary. Develop a regulatory strategy and interaction plan for generating appropriate evidence as well as engaging with regulators and other relevant bodies (e.g., European Medicines Agency (EMA), EMA expert panels</w:t>
      </w:r>
      <w:r>
        <w:rPr>
          <w:vertAlign w:val="superscript"/>
        </w:rPr>
        <w:footnoteReference w:id="164"/>
      </w:r>
      <w:r>
        <w:rPr>
          <w:color w:val="000000"/>
        </w:rPr>
        <w:t xml:space="preserve">, national regulators, Health Technology Assessment bodies, etc.) in a timely manner. Consider also the potential for future regulatory impact of the results. </w:t>
      </w:r>
    </w:p>
    <w:p w14:paraId="3DC77546" w14:textId="77777777" w:rsidR="00056AEE" w:rsidRDefault="00A00CB7">
      <w:r>
        <w:rPr>
          <w:color w:val="000000"/>
        </w:rPr>
        <w:t>Participation of small and medium-size enterprises (SMEs) is strongly encouraged.</w:t>
      </w:r>
    </w:p>
    <w:p w14:paraId="27EAC4DD" w14:textId="77777777" w:rsidR="00056AEE" w:rsidRDefault="00A00CB7">
      <w:r>
        <w:rPr>
          <w:color w:val="000000"/>
        </w:rPr>
        <w:t>For orphan devices or highly innovative devices relevant to rare disease patients, applicants should look for synergies with actions implemented under the co-funded European Partnership on Rare Diseases proposed under Horizon Europe</w:t>
      </w:r>
      <w:r>
        <w:rPr>
          <w:vertAlign w:val="superscript"/>
        </w:rPr>
        <w:footnoteReference w:id="165"/>
      </w:r>
      <w:r>
        <w:rPr>
          <w:color w:val="000000"/>
        </w:rPr>
        <w:t>, as well as synergies with actions implemented under the EU4Health programme.</w:t>
      </w:r>
    </w:p>
    <w:p w14:paraId="748F223B" w14:textId="77777777" w:rsidR="00056AEE" w:rsidRDefault="00A00CB7">
      <w:r>
        <w:rPr>
          <w:color w:val="000000"/>
        </w:rPr>
        <w:t>The Joint Research Centre (JRC) may participate as a member of the consortium selected for funding. Proposals should consider the involvement of the European Commission's JRC regarding its experience in this field and with respect to the value it could bring in providing an effective interface between research activities and pre-normative science as well as strategies and frameworks that address regulatory requirements. In that respect, the JRC will consider collaborating with any successful proposal and this collaboration, when relevant, should be established after the proposal’s approval.</w:t>
      </w:r>
    </w:p>
    <w:p w14:paraId="32212A5E" w14:textId="77777777" w:rsidR="00056AEE" w:rsidRDefault="00A00CB7">
      <w:r>
        <w:rPr>
          <w:color w:val="000000"/>
        </w:rPr>
        <w:t>Applicants envisaging to include clinical studies should provide details of their clinical studies in the dedicated annex using the template provided in the submission system. See definition of clinical studies in the introduction to this work programme part.</w:t>
      </w:r>
    </w:p>
    <w:p w14:paraId="3D633895" w14:textId="77777777" w:rsidR="00056AEE" w:rsidRDefault="00A00CB7">
      <w:pPr>
        <w:pStyle w:val="HeadingOne"/>
        <w:pageBreakBefore/>
      </w:pPr>
      <w:bookmarkStart w:id="34" w:name="_Toc171689881"/>
      <w:r>
        <w:lastRenderedPageBreak/>
        <w:t>Other Actions not subject to calls for proposals</w:t>
      </w:r>
      <w:bookmarkEnd w:id="34"/>
    </w:p>
    <w:p w14:paraId="227E7D34" w14:textId="77777777" w:rsidR="00056AEE" w:rsidRPr="006372DB" w:rsidRDefault="00A00CB7">
      <w:pPr>
        <w:pStyle w:val="HeadingTwo"/>
        <w:rPr>
          <w:lang w:val="en-US"/>
        </w:rPr>
      </w:pPr>
      <w:bookmarkStart w:id="35" w:name="_Toc171689882"/>
      <w:r w:rsidRPr="006372DB">
        <w:rPr>
          <w:lang w:val="en-US"/>
        </w:rPr>
        <w:t>Grants to identified beneficiaries</w:t>
      </w:r>
      <w:bookmarkEnd w:id="35"/>
    </w:p>
    <w:p w14:paraId="6995FBE5" w14:textId="77777777" w:rsidR="00056AEE" w:rsidRDefault="00A00CB7">
      <w:pPr>
        <w:pStyle w:val="HeadingThree"/>
      </w:pPr>
      <w:bookmarkStart w:id="36" w:name="_Toc171689883"/>
      <w:r>
        <w:t>1. Grant to the Global Alliance for Chronic Diseases (GACD)</w:t>
      </w:r>
      <w:bookmarkEnd w:id="36"/>
    </w:p>
    <w:p w14:paraId="39ED6F63" w14:textId="77777777" w:rsidR="00056AEE" w:rsidRDefault="00A00CB7">
      <w:r>
        <w:rPr>
          <w:color w:val="000000"/>
          <w:u w:val="single"/>
        </w:rPr>
        <w:t>Expected Outcome</w:t>
      </w:r>
      <w:r>
        <w:rPr>
          <w:color w:val="000000"/>
        </w:rPr>
        <w:t>: Proposals should set out a credible pathway to contributing to one or several expected impacts of destination “Tackling diseases and reducing disease burden”.</w:t>
      </w:r>
    </w:p>
    <w:p w14:paraId="64D6F1B8" w14:textId="77777777" w:rsidR="00056AEE" w:rsidRDefault="00A00CB7">
      <w:r>
        <w:rPr>
          <w:color w:val="000000"/>
        </w:rPr>
        <w:t>Project results are expected to contribute to the following expected outcome: enable the European Commission to take part in GACD</w:t>
      </w:r>
      <w:r>
        <w:rPr>
          <w:vertAlign w:val="superscript"/>
        </w:rPr>
        <w:footnoteReference w:id="166"/>
      </w:r>
      <w:r>
        <w:rPr>
          <w:color w:val="000000"/>
        </w:rPr>
        <w:t>, which brings together leading health research funding agencies of key countries (currently Australia, Brazil, Canada, India, Japan, New Zealand, South Africa, Thailand, UK and USA) to coordinate research activities addressing on a global scale the prevention and treatment of chronic, non-communicable diseases such as cardiovascular diseases, diabetes, mental and neurological diseases, lung diseases and cancer.</w:t>
      </w:r>
    </w:p>
    <w:p w14:paraId="250407FF" w14:textId="77777777" w:rsidR="00056AEE" w:rsidRDefault="00A00CB7">
      <w:r>
        <w:rPr>
          <w:color w:val="000000"/>
          <w:u w:val="single"/>
        </w:rPr>
        <w:t>Scope</w:t>
      </w:r>
      <w:r>
        <w:rPr>
          <w:color w:val="000000"/>
        </w:rPr>
        <w:t>: Recommendations of GACD are expected to have a fundamental value for future orientation of public health research policy. This will also contribute to the implementation of the Union’s strategy for international cooperation in research and innovation.</w:t>
      </w:r>
    </w:p>
    <w:p w14:paraId="26B3878C" w14:textId="77777777" w:rsidR="00056AEE" w:rsidRDefault="00A00CB7">
      <w:r>
        <w:rPr>
          <w:color w:val="000000"/>
          <w:u w:val="single"/>
        </w:rPr>
        <w:t>Award criteria</w:t>
      </w:r>
      <w:r>
        <w:rPr>
          <w:color w:val="000000"/>
        </w:rPr>
        <w:t>:</w:t>
      </w:r>
    </w:p>
    <w:p w14:paraId="5063CB64" w14:textId="77777777" w:rsidR="00056AEE" w:rsidRDefault="00A00CB7">
      <w:r>
        <w:rPr>
          <w:color w:val="000000"/>
        </w:rPr>
        <w:t>The criteria are described in General Annex D. The following exceptions apply: The thresholds for each criterion will be 4 (Excellence), 4 (Impact) and 4 (Implementation). The cumulative threshold will be 12.</w:t>
      </w:r>
    </w:p>
    <w:p w14:paraId="1F7EAAC0" w14:textId="77777777" w:rsidR="00056AEE" w:rsidRDefault="00A00CB7">
      <w:r>
        <w:rPr>
          <w:color w:val="000000"/>
          <w:u w:val="single"/>
        </w:rPr>
        <w:t>Procedure</w:t>
      </w:r>
      <w:r>
        <w:rPr>
          <w:color w:val="000000"/>
        </w:rPr>
        <w:t>:</w:t>
      </w:r>
    </w:p>
    <w:p w14:paraId="59693F0C" w14:textId="77777777" w:rsidR="00056AEE" w:rsidRDefault="00A00CB7">
      <w:r>
        <w:rPr>
          <w:color w:val="000000"/>
        </w:rPr>
        <w:t>The evaluation committee will be composed fully by representatives of EU institutions.</w:t>
      </w:r>
    </w:p>
    <w:p w14:paraId="35A48B26" w14:textId="77777777" w:rsidR="00056AEE" w:rsidRDefault="00A00CB7">
      <w:r>
        <w:rPr>
          <w:color w:val="000000"/>
          <w:u w:val="single"/>
        </w:rPr>
        <w:t>Legal and financial set-up of the Grant Agreements</w:t>
      </w:r>
      <w:r>
        <w:rPr>
          <w:color w:val="000000"/>
        </w:rPr>
        <w:t>:</w:t>
      </w:r>
    </w:p>
    <w:p w14:paraId="047AF7D7" w14:textId="77777777" w:rsidR="00056AEE" w:rsidRDefault="00A00CB7">
      <w:r>
        <w:rPr>
          <w:color w:val="000000"/>
        </w:rPr>
        <w:t>The funding rate will be 100%.</w:t>
      </w:r>
    </w:p>
    <w:p w14:paraId="7C82AE12" w14:textId="77777777" w:rsidR="00056AEE" w:rsidRDefault="00A00CB7">
      <w:r>
        <w:rPr>
          <w:u w:val="single"/>
        </w:rPr>
        <w:t>Legal entities</w:t>
      </w:r>
      <w:r>
        <w:t xml:space="preserve">: </w:t>
      </w:r>
    </w:p>
    <w:p w14:paraId="3C5CE6DE" w14:textId="77777777" w:rsidR="00056AEE" w:rsidRDefault="00A00CB7">
      <w:r>
        <w:t xml:space="preserve">GACD Action, </w:t>
      </w:r>
      <w:proofErr w:type="spellStart"/>
      <w:r>
        <w:t>Wellcome</w:t>
      </w:r>
      <w:proofErr w:type="spellEnd"/>
      <w:r>
        <w:t xml:space="preserve"> Building, 215 Euston Road, London NW1 2BE, United Kingdom</w:t>
      </w:r>
    </w:p>
    <w:p w14:paraId="5311B614" w14:textId="77777777" w:rsidR="00056AEE" w:rsidRDefault="00A00CB7">
      <w:r>
        <w:rPr>
          <w:u w:val="single"/>
        </w:rPr>
        <w:t>Form of Funding</w:t>
      </w:r>
      <w:r>
        <w:t>: Grants not subject to calls for proposals</w:t>
      </w:r>
    </w:p>
    <w:p w14:paraId="6982F887" w14:textId="77777777" w:rsidR="00056AEE" w:rsidRDefault="00A00CB7">
      <w:r>
        <w:rPr>
          <w:u w:val="single"/>
        </w:rPr>
        <w:t>Type of Action</w:t>
      </w:r>
      <w:r>
        <w:t>: Grant to identified beneficiary according to Financial Regulation Article 195(e) - Coordination and support action</w:t>
      </w:r>
    </w:p>
    <w:p w14:paraId="60853606" w14:textId="77777777" w:rsidR="00056AEE" w:rsidRDefault="00A00CB7">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71765BFE" w14:textId="77777777" w:rsidR="00056AEE" w:rsidRDefault="00A00CB7">
      <w:r>
        <w:rPr>
          <w:u w:val="single"/>
        </w:rPr>
        <w:lastRenderedPageBreak/>
        <w:t>Indicative timetable</w:t>
      </w:r>
      <w:r>
        <w:t>: Fourth Quarter of 2025</w:t>
      </w:r>
    </w:p>
    <w:p w14:paraId="64B41AFA" w14:textId="77777777" w:rsidR="00056AEE" w:rsidRDefault="00A00CB7">
      <w:r>
        <w:rPr>
          <w:u w:val="single"/>
        </w:rPr>
        <w:t>Indicative budget</w:t>
      </w:r>
      <w:r>
        <w:t>: EUR 0.50 million from the 2025 budget</w:t>
      </w:r>
    </w:p>
    <w:p w14:paraId="6C7BE4D3" w14:textId="77777777" w:rsidR="00056AEE" w:rsidRPr="006372DB" w:rsidRDefault="00A00CB7">
      <w:pPr>
        <w:pStyle w:val="HeadingTwo"/>
        <w:rPr>
          <w:lang w:val="en-US"/>
        </w:rPr>
      </w:pPr>
      <w:bookmarkStart w:id="37" w:name="_Toc171689884"/>
      <w:r w:rsidRPr="006372DB">
        <w:rPr>
          <w:lang w:val="en-US"/>
        </w:rPr>
        <w:t>Other Instruments</w:t>
      </w:r>
      <w:bookmarkEnd w:id="37"/>
    </w:p>
    <w:p w14:paraId="68066417" w14:textId="77777777" w:rsidR="00056AEE" w:rsidRDefault="00A00CB7">
      <w:pPr>
        <w:pStyle w:val="HeadingThree"/>
      </w:pPr>
      <w:bookmarkStart w:id="38" w:name="_Toc171689885"/>
      <w:r>
        <w:t>1. Studies, conferences, events and outreach activities</w:t>
      </w:r>
      <w:bookmarkEnd w:id="38"/>
    </w:p>
    <w:p w14:paraId="583AC6DB" w14:textId="77777777" w:rsidR="00056AEE" w:rsidRDefault="00A00CB7">
      <w:proofErr w:type="gramStart"/>
      <w:r>
        <w:rPr>
          <w:color w:val="000000"/>
        </w:rPr>
        <w:t>A number of</w:t>
      </w:r>
      <w:proofErr w:type="gramEnd"/>
      <w:r>
        <w:rPr>
          <w:color w:val="000000"/>
        </w:rPr>
        <w:t xml:space="preserve"> specific contracts will be signed under existing framework contracts in order to: (</w:t>
      </w:r>
      <w:proofErr w:type="spellStart"/>
      <w:r>
        <w:rPr>
          <w:color w:val="000000"/>
        </w:rPr>
        <w:t>i</w:t>
      </w:r>
      <w:proofErr w:type="spellEnd"/>
      <w:r>
        <w:rPr>
          <w:color w:val="000000"/>
        </w:rPr>
        <w:t xml:space="preserve">) support the dissemination and exploitation of project results; (ii) contribute to the definition of future challenge priorities; (iii) undertake citizen surveys such as </w:t>
      </w:r>
      <w:proofErr w:type="spellStart"/>
      <w:r>
        <w:rPr>
          <w:color w:val="000000"/>
        </w:rPr>
        <w:t>Eurobarometers</w:t>
      </w:r>
      <w:proofErr w:type="spellEnd"/>
      <w:r>
        <w:rPr>
          <w:color w:val="000000"/>
        </w:rPr>
        <w:t>, (iv) carry out specific evaluations of programme parts; and (v) organise conferences, events and outreach activities. Should existing framework contracts prove unsuitable or insufficient to support the abovementioned activities, one or more calls for tender may be launched as appropriate.</w:t>
      </w:r>
    </w:p>
    <w:p w14:paraId="61EBAD1A" w14:textId="77777777" w:rsidR="00056AEE" w:rsidRDefault="00A00CB7">
      <w:r>
        <w:rPr>
          <w:color w:val="000000"/>
          <w:u w:val="single"/>
        </w:rPr>
        <w:t>Subject matter of the contracts envisaged</w:t>
      </w:r>
      <w:r>
        <w:rPr>
          <w:color w:val="000000"/>
        </w:rPr>
        <w:t>: studies, technical assistance, conferences, events and outreach activities.</w:t>
      </w:r>
    </w:p>
    <w:p w14:paraId="295CADB7" w14:textId="77777777" w:rsidR="00056AEE" w:rsidRDefault="00A00CB7">
      <w:r>
        <w:rPr>
          <w:u w:val="single"/>
        </w:rPr>
        <w:t>Form of Funding</w:t>
      </w:r>
      <w:r>
        <w:t>: Procurement</w:t>
      </w:r>
    </w:p>
    <w:p w14:paraId="63811534" w14:textId="77777777" w:rsidR="00056AEE" w:rsidRDefault="00A00CB7">
      <w:r>
        <w:rPr>
          <w:u w:val="single"/>
        </w:rPr>
        <w:t>Type of Action</w:t>
      </w:r>
      <w:r>
        <w:t>: Public procurement</w:t>
      </w:r>
    </w:p>
    <w:p w14:paraId="6A174FEB" w14:textId="77777777" w:rsidR="00056AEE" w:rsidRDefault="00A00CB7">
      <w:r>
        <w:rPr>
          <w:u w:val="single"/>
        </w:rPr>
        <w:t>Indicative timetable</w:t>
      </w:r>
      <w:r>
        <w:t>: 2025</w:t>
      </w:r>
    </w:p>
    <w:p w14:paraId="1B61D705" w14:textId="77777777" w:rsidR="00056AEE" w:rsidRDefault="00A00CB7">
      <w:r>
        <w:rPr>
          <w:u w:val="single"/>
        </w:rPr>
        <w:t>Indicative budget</w:t>
      </w:r>
      <w:r>
        <w:t>: EUR 10.00 million from the 2025 budget</w:t>
      </w:r>
    </w:p>
    <w:p w14:paraId="13829CD5" w14:textId="77777777" w:rsidR="00056AEE" w:rsidRDefault="00A00CB7">
      <w:pPr>
        <w:pStyle w:val="HeadingThree"/>
      </w:pPr>
      <w:bookmarkStart w:id="39" w:name="_Toc171689886"/>
      <w:r>
        <w:t>2. Subscription to the Human Frontier Science Program Organization</w:t>
      </w:r>
      <w:bookmarkEnd w:id="39"/>
    </w:p>
    <w:p w14:paraId="14C74BD5" w14:textId="77777777" w:rsidR="00056AEE" w:rsidRDefault="00A00CB7">
      <w:r>
        <w:rPr>
          <w:color w:val="000000"/>
        </w:rPr>
        <w:t>An annual subscription to the international Human Frontier Science Program Organization (HFSPO)</w:t>
      </w:r>
      <w:r>
        <w:rPr>
          <w:vertAlign w:val="superscript"/>
        </w:rPr>
        <w:footnoteReference w:id="167"/>
      </w:r>
      <w:r>
        <w:rPr>
          <w:color w:val="000000"/>
        </w:rPr>
        <w:t xml:space="preserve"> will allow researchers from EU non-G7 Member States to fully benefit from the Human Frontier Science Program (HFSP) and contribute to the implementation of the Global Approach to Research and Innovation, Europe’s strategy for international cooperation in a changing world</w:t>
      </w:r>
      <w:r>
        <w:rPr>
          <w:vertAlign w:val="superscript"/>
        </w:rPr>
        <w:footnoteReference w:id="168"/>
      </w:r>
      <w:r>
        <w:rPr>
          <w:color w:val="000000"/>
        </w:rPr>
        <w:t>.</w:t>
      </w:r>
    </w:p>
    <w:p w14:paraId="3CB4E38D" w14:textId="77777777" w:rsidR="00056AEE" w:rsidRDefault="00A00CB7">
      <w:r>
        <w:rPr>
          <w:color w:val="000000"/>
        </w:rPr>
        <w:t xml:space="preserve">An amount of EUR 1 million in 2025 is set aside </w:t>
      </w:r>
      <w:proofErr w:type="gramStart"/>
      <w:r>
        <w:rPr>
          <w:color w:val="000000"/>
        </w:rPr>
        <w:t>in order to</w:t>
      </w:r>
      <w:proofErr w:type="gramEnd"/>
      <w:r>
        <w:rPr>
          <w:color w:val="000000"/>
        </w:rPr>
        <w:t xml:space="preserve"> enable initiatives to help the affected scientific community in and from areas recently severely ravaged by conflict and/or war on European ground.</w:t>
      </w:r>
    </w:p>
    <w:p w14:paraId="028A6268" w14:textId="77777777" w:rsidR="00056AEE" w:rsidRDefault="00A00CB7">
      <w:r>
        <w:rPr>
          <w:u w:val="single"/>
        </w:rPr>
        <w:t>Type of Action</w:t>
      </w:r>
      <w:r>
        <w:t>: Subscription action</w:t>
      </w:r>
    </w:p>
    <w:p w14:paraId="11EDDC84" w14:textId="77777777" w:rsidR="00056AEE" w:rsidRDefault="00A00CB7">
      <w:r>
        <w:rPr>
          <w:u w:val="single"/>
        </w:rPr>
        <w:t>Indicative timetable</w:t>
      </w:r>
      <w:r>
        <w:t>: Second Quarter of 2025</w:t>
      </w:r>
    </w:p>
    <w:p w14:paraId="6D31784A" w14:textId="77777777" w:rsidR="00056AEE" w:rsidRDefault="00A00CB7">
      <w:r>
        <w:rPr>
          <w:u w:val="single"/>
        </w:rPr>
        <w:t>Indicative budget</w:t>
      </w:r>
      <w:r>
        <w:t>: EUR 6.92 million from the 2025 budget</w:t>
      </w:r>
    </w:p>
    <w:p w14:paraId="1DE0928A" w14:textId="77777777" w:rsidR="00056AEE" w:rsidRDefault="00A00CB7">
      <w:pPr>
        <w:pStyle w:val="HeadingOne"/>
        <w:pageBreakBefore/>
      </w:pPr>
      <w:bookmarkStart w:id="40" w:name="_Toc171689887"/>
      <w:r>
        <w:lastRenderedPageBreak/>
        <w:t>Budget</w:t>
      </w:r>
      <w:r>
        <w:rPr>
          <w:vertAlign w:val="superscript"/>
        </w:rPr>
        <w:footnoteReference w:id="169"/>
      </w:r>
      <w:bookmarkEnd w:id="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701"/>
        <w:gridCol w:w="1361"/>
        <w:gridCol w:w="1670"/>
        <w:gridCol w:w="1670"/>
        <w:gridCol w:w="1670"/>
      </w:tblGrid>
      <w:tr w:rsidR="00056AEE" w14:paraId="065E8C5D" w14:textId="77777777">
        <w:tc>
          <w:tcPr>
            <w:tcW w:w="3000" w:type="dxa"/>
          </w:tcPr>
          <w:p w14:paraId="4B628216" w14:textId="77777777" w:rsidR="00056AEE" w:rsidRDefault="00056AEE">
            <w:pPr>
              <w:pStyle w:val="CellHeaderTextValue"/>
            </w:pPr>
          </w:p>
        </w:tc>
        <w:tc>
          <w:tcPr>
            <w:tcW w:w="2000" w:type="dxa"/>
          </w:tcPr>
          <w:p w14:paraId="1D256A8C" w14:textId="77777777" w:rsidR="00056AEE" w:rsidRDefault="00A00CB7">
            <w:pPr>
              <w:pStyle w:val="CellHeaderTextValue"/>
            </w:pPr>
            <w:r>
              <w:t>Budget line(s)</w:t>
            </w:r>
          </w:p>
        </w:tc>
        <w:tc>
          <w:tcPr>
            <w:tcW w:w="1333" w:type="dxa"/>
          </w:tcPr>
          <w:p w14:paraId="3F754D8F" w14:textId="77777777" w:rsidR="00056AEE" w:rsidRDefault="00A00CB7">
            <w:pPr>
              <w:pStyle w:val="CellHeaderTextValue"/>
            </w:pPr>
            <w:r>
              <w:t>2025 Budget</w:t>
            </w:r>
            <w:r>
              <w:cr/>
              <w:t>(EUR million)</w:t>
            </w:r>
          </w:p>
        </w:tc>
        <w:tc>
          <w:tcPr>
            <w:tcW w:w="1333" w:type="dxa"/>
          </w:tcPr>
          <w:p w14:paraId="122D327B" w14:textId="77777777" w:rsidR="00056AEE" w:rsidRDefault="00A00CB7">
            <w:pPr>
              <w:pStyle w:val="CellHeaderTextValue"/>
            </w:pPr>
            <w:r>
              <w:t>2026 Budget</w:t>
            </w:r>
            <w:r>
              <w:cr/>
              <w:t>(EUR million)</w:t>
            </w:r>
          </w:p>
        </w:tc>
        <w:tc>
          <w:tcPr>
            <w:tcW w:w="1333" w:type="dxa"/>
          </w:tcPr>
          <w:p w14:paraId="6AF64FC1" w14:textId="77777777" w:rsidR="00056AEE" w:rsidRDefault="00A00CB7">
            <w:pPr>
              <w:pStyle w:val="CellHeaderTextValue"/>
            </w:pPr>
            <w:r>
              <w:t>2027 Budget</w:t>
            </w:r>
            <w:r>
              <w:cr/>
              <w:t>(EUR million)</w:t>
            </w:r>
          </w:p>
        </w:tc>
      </w:tr>
      <w:tr w:rsidR="003A38F8" w14:paraId="717AA64B" w14:textId="77777777" w:rsidTr="003A38F8">
        <w:tc>
          <w:tcPr>
            <w:tcW w:w="0" w:type="auto"/>
            <w:gridSpan w:val="5"/>
          </w:tcPr>
          <w:p w14:paraId="743B78F7" w14:textId="77777777" w:rsidR="00056AEE" w:rsidRDefault="00A00CB7">
            <w:pPr>
              <w:pStyle w:val="CellHeaderTextValue"/>
              <w:jc w:val="left"/>
            </w:pPr>
            <w:r>
              <w:rPr>
                <w:b/>
              </w:rPr>
              <w:t>Calls</w:t>
            </w:r>
          </w:p>
        </w:tc>
      </w:tr>
      <w:tr w:rsidR="00056AEE" w14:paraId="02CCC2B5" w14:textId="77777777">
        <w:tc>
          <w:tcPr>
            <w:tcW w:w="0" w:type="auto"/>
            <w:vMerge w:val="restart"/>
          </w:tcPr>
          <w:p w14:paraId="094A878E" w14:textId="77777777" w:rsidR="00056AEE" w:rsidRDefault="00A00CB7">
            <w:pPr>
              <w:pStyle w:val="CellTextValue"/>
            </w:pPr>
            <w:r>
              <w:t>HORIZON-HLTH-2025-01</w:t>
            </w:r>
          </w:p>
        </w:tc>
        <w:tc>
          <w:tcPr>
            <w:tcW w:w="0" w:type="auto"/>
          </w:tcPr>
          <w:p w14:paraId="0B3F1341" w14:textId="77777777" w:rsidR="00056AEE" w:rsidRDefault="00056AEE">
            <w:pPr>
              <w:pStyle w:val="CellTextValue"/>
            </w:pPr>
          </w:p>
        </w:tc>
        <w:tc>
          <w:tcPr>
            <w:tcW w:w="0" w:type="auto"/>
          </w:tcPr>
          <w:p w14:paraId="0DD24EBA" w14:textId="77777777" w:rsidR="00056AEE" w:rsidRDefault="00A00CB7">
            <w:pPr>
              <w:pStyle w:val="CellTextValueNumeric"/>
            </w:pPr>
            <w:r>
              <w:t>651.00</w:t>
            </w:r>
          </w:p>
        </w:tc>
        <w:tc>
          <w:tcPr>
            <w:tcW w:w="0" w:type="auto"/>
          </w:tcPr>
          <w:p w14:paraId="5822EC31" w14:textId="77777777" w:rsidR="00056AEE" w:rsidRDefault="00056AEE">
            <w:pPr>
              <w:pStyle w:val="CellTextValueNumeric"/>
            </w:pPr>
          </w:p>
        </w:tc>
        <w:tc>
          <w:tcPr>
            <w:tcW w:w="0" w:type="auto"/>
          </w:tcPr>
          <w:p w14:paraId="4ECBFD99" w14:textId="77777777" w:rsidR="00056AEE" w:rsidRDefault="00056AEE">
            <w:pPr>
              <w:pStyle w:val="CellTextValueNumeric"/>
            </w:pPr>
          </w:p>
        </w:tc>
      </w:tr>
      <w:tr w:rsidR="00056AEE" w14:paraId="3214AED5" w14:textId="77777777">
        <w:tc>
          <w:tcPr>
            <w:tcW w:w="0" w:type="auto"/>
            <w:vMerge/>
          </w:tcPr>
          <w:p w14:paraId="0456515B" w14:textId="77777777" w:rsidR="00056AEE" w:rsidRDefault="00056AEE">
            <w:pPr>
              <w:pStyle w:val="CellTextValue"/>
            </w:pPr>
          </w:p>
        </w:tc>
        <w:tc>
          <w:tcPr>
            <w:tcW w:w="0" w:type="auto"/>
          </w:tcPr>
          <w:p w14:paraId="7E7BBAFE" w14:textId="77777777" w:rsidR="00056AEE" w:rsidRDefault="00A00CB7">
            <w:pPr>
              <w:pStyle w:val="CellTextValueGray"/>
            </w:pPr>
            <w:r>
              <w:t>from 01.020210</w:t>
            </w:r>
          </w:p>
        </w:tc>
        <w:tc>
          <w:tcPr>
            <w:tcW w:w="0" w:type="auto"/>
          </w:tcPr>
          <w:p w14:paraId="6BC1962D" w14:textId="77777777" w:rsidR="00056AEE" w:rsidRDefault="00A00CB7">
            <w:pPr>
              <w:pStyle w:val="CellTextValueNumericGray"/>
            </w:pPr>
            <w:r>
              <w:t>651.00</w:t>
            </w:r>
          </w:p>
        </w:tc>
        <w:tc>
          <w:tcPr>
            <w:tcW w:w="0" w:type="auto"/>
          </w:tcPr>
          <w:p w14:paraId="7CAB2D43" w14:textId="77777777" w:rsidR="00056AEE" w:rsidRDefault="00056AEE">
            <w:pPr>
              <w:pStyle w:val="CellTextValueNumericGray"/>
            </w:pPr>
          </w:p>
        </w:tc>
        <w:tc>
          <w:tcPr>
            <w:tcW w:w="0" w:type="auto"/>
          </w:tcPr>
          <w:p w14:paraId="4DF4595A" w14:textId="77777777" w:rsidR="00056AEE" w:rsidRDefault="00056AEE">
            <w:pPr>
              <w:pStyle w:val="CellTextValueNumericGray"/>
            </w:pPr>
          </w:p>
        </w:tc>
      </w:tr>
      <w:tr w:rsidR="00056AEE" w14:paraId="4CF51F6C" w14:textId="77777777">
        <w:tc>
          <w:tcPr>
            <w:tcW w:w="0" w:type="auto"/>
            <w:vMerge w:val="restart"/>
          </w:tcPr>
          <w:p w14:paraId="5E83F2C0" w14:textId="77777777" w:rsidR="00056AEE" w:rsidRDefault="00A00CB7">
            <w:pPr>
              <w:pStyle w:val="CellTextValue"/>
            </w:pPr>
            <w:r>
              <w:t>HORIZON-HLTH-2025-02</w:t>
            </w:r>
          </w:p>
        </w:tc>
        <w:tc>
          <w:tcPr>
            <w:tcW w:w="0" w:type="auto"/>
          </w:tcPr>
          <w:p w14:paraId="070493A2" w14:textId="77777777" w:rsidR="00056AEE" w:rsidRDefault="00056AEE">
            <w:pPr>
              <w:pStyle w:val="CellTextValue"/>
            </w:pPr>
          </w:p>
        </w:tc>
        <w:tc>
          <w:tcPr>
            <w:tcW w:w="0" w:type="auto"/>
          </w:tcPr>
          <w:p w14:paraId="55A06632" w14:textId="77777777" w:rsidR="00056AEE" w:rsidRDefault="00A00CB7">
            <w:pPr>
              <w:pStyle w:val="CellTextValueNumeric"/>
            </w:pPr>
            <w:r>
              <w:t>30.00</w:t>
            </w:r>
          </w:p>
        </w:tc>
        <w:tc>
          <w:tcPr>
            <w:tcW w:w="0" w:type="auto"/>
          </w:tcPr>
          <w:p w14:paraId="057D7CC9" w14:textId="77777777" w:rsidR="00056AEE" w:rsidRDefault="00A00CB7">
            <w:pPr>
              <w:pStyle w:val="CellTextValueNumeric"/>
            </w:pPr>
            <w:r>
              <w:t>70.00</w:t>
            </w:r>
          </w:p>
        </w:tc>
        <w:tc>
          <w:tcPr>
            <w:tcW w:w="0" w:type="auto"/>
          </w:tcPr>
          <w:p w14:paraId="3A28DEB9" w14:textId="77777777" w:rsidR="00056AEE" w:rsidRDefault="00A00CB7">
            <w:pPr>
              <w:pStyle w:val="CellTextValueNumeric"/>
            </w:pPr>
            <w:r>
              <w:t>50.00</w:t>
            </w:r>
          </w:p>
        </w:tc>
      </w:tr>
      <w:tr w:rsidR="00056AEE" w14:paraId="36EEF5CC" w14:textId="77777777">
        <w:tc>
          <w:tcPr>
            <w:tcW w:w="0" w:type="auto"/>
            <w:vMerge/>
          </w:tcPr>
          <w:p w14:paraId="72C33F42" w14:textId="77777777" w:rsidR="00056AEE" w:rsidRDefault="00056AEE">
            <w:pPr>
              <w:pStyle w:val="CellTextValue"/>
            </w:pPr>
          </w:p>
        </w:tc>
        <w:tc>
          <w:tcPr>
            <w:tcW w:w="0" w:type="auto"/>
          </w:tcPr>
          <w:p w14:paraId="475EBCB0" w14:textId="77777777" w:rsidR="00056AEE" w:rsidRDefault="00A00CB7">
            <w:pPr>
              <w:pStyle w:val="CellTextValueGray"/>
            </w:pPr>
            <w:r>
              <w:t>from 01.020210</w:t>
            </w:r>
          </w:p>
        </w:tc>
        <w:tc>
          <w:tcPr>
            <w:tcW w:w="0" w:type="auto"/>
          </w:tcPr>
          <w:p w14:paraId="18799391" w14:textId="77777777" w:rsidR="00056AEE" w:rsidRDefault="00A00CB7">
            <w:pPr>
              <w:pStyle w:val="CellTextValueNumericGray"/>
            </w:pPr>
            <w:r>
              <w:t>30.00</w:t>
            </w:r>
          </w:p>
        </w:tc>
        <w:tc>
          <w:tcPr>
            <w:tcW w:w="0" w:type="auto"/>
          </w:tcPr>
          <w:p w14:paraId="0B1EDD2C" w14:textId="77777777" w:rsidR="00056AEE" w:rsidRDefault="00A00CB7">
            <w:pPr>
              <w:pStyle w:val="CellTextValueNumericGray"/>
            </w:pPr>
            <w:r>
              <w:t>70.00</w:t>
            </w:r>
          </w:p>
        </w:tc>
        <w:tc>
          <w:tcPr>
            <w:tcW w:w="0" w:type="auto"/>
          </w:tcPr>
          <w:p w14:paraId="3A179D01" w14:textId="77777777" w:rsidR="00056AEE" w:rsidRDefault="00A00CB7">
            <w:pPr>
              <w:pStyle w:val="CellTextValueNumericGray"/>
            </w:pPr>
            <w:r>
              <w:t>50.00</w:t>
            </w:r>
          </w:p>
        </w:tc>
      </w:tr>
      <w:tr w:rsidR="00056AEE" w14:paraId="72AAC651" w14:textId="77777777">
        <w:tc>
          <w:tcPr>
            <w:tcW w:w="0" w:type="auto"/>
            <w:vMerge w:val="restart"/>
          </w:tcPr>
          <w:p w14:paraId="08586310" w14:textId="77777777" w:rsidR="00056AEE" w:rsidRDefault="00A00CB7">
            <w:pPr>
              <w:pStyle w:val="CellTextValue"/>
            </w:pPr>
            <w:r>
              <w:t>HORIZON-HLTH-2025-03</w:t>
            </w:r>
          </w:p>
        </w:tc>
        <w:tc>
          <w:tcPr>
            <w:tcW w:w="0" w:type="auto"/>
          </w:tcPr>
          <w:p w14:paraId="41DD0905" w14:textId="77777777" w:rsidR="00056AEE" w:rsidRDefault="00056AEE">
            <w:pPr>
              <w:pStyle w:val="CellTextValue"/>
            </w:pPr>
          </w:p>
        </w:tc>
        <w:tc>
          <w:tcPr>
            <w:tcW w:w="0" w:type="auto"/>
          </w:tcPr>
          <w:p w14:paraId="57AFE519" w14:textId="77777777" w:rsidR="00056AEE" w:rsidRDefault="00A00CB7">
            <w:pPr>
              <w:pStyle w:val="CellTextValueNumeric"/>
            </w:pPr>
            <w:r>
              <w:t>77.00</w:t>
            </w:r>
          </w:p>
        </w:tc>
        <w:tc>
          <w:tcPr>
            <w:tcW w:w="0" w:type="auto"/>
          </w:tcPr>
          <w:p w14:paraId="11F4D996" w14:textId="77777777" w:rsidR="00056AEE" w:rsidRDefault="00056AEE">
            <w:pPr>
              <w:pStyle w:val="CellTextValueNumeric"/>
            </w:pPr>
          </w:p>
        </w:tc>
        <w:tc>
          <w:tcPr>
            <w:tcW w:w="0" w:type="auto"/>
          </w:tcPr>
          <w:p w14:paraId="794BF960" w14:textId="77777777" w:rsidR="00056AEE" w:rsidRDefault="00056AEE">
            <w:pPr>
              <w:pStyle w:val="CellTextValueNumeric"/>
            </w:pPr>
          </w:p>
        </w:tc>
      </w:tr>
      <w:tr w:rsidR="00056AEE" w14:paraId="09205313" w14:textId="77777777">
        <w:tc>
          <w:tcPr>
            <w:tcW w:w="0" w:type="auto"/>
            <w:vMerge/>
          </w:tcPr>
          <w:p w14:paraId="1C8707BD" w14:textId="77777777" w:rsidR="00056AEE" w:rsidRDefault="00056AEE">
            <w:pPr>
              <w:pStyle w:val="CellTextValue"/>
            </w:pPr>
          </w:p>
        </w:tc>
        <w:tc>
          <w:tcPr>
            <w:tcW w:w="0" w:type="auto"/>
          </w:tcPr>
          <w:p w14:paraId="0340B04F" w14:textId="77777777" w:rsidR="00056AEE" w:rsidRDefault="00A00CB7">
            <w:pPr>
              <w:pStyle w:val="CellTextValueGray"/>
            </w:pPr>
            <w:r>
              <w:t>from 01.020210</w:t>
            </w:r>
          </w:p>
        </w:tc>
        <w:tc>
          <w:tcPr>
            <w:tcW w:w="0" w:type="auto"/>
          </w:tcPr>
          <w:p w14:paraId="63B88796" w14:textId="77777777" w:rsidR="00056AEE" w:rsidRDefault="00A00CB7">
            <w:pPr>
              <w:pStyle w:val="CellTextValueNumericGray"/>
            </w:pPr>
            <w:r>
              <w:t>77.00</w:t>
            </w:r>
          </w:p>
        </w:tc>
        <w:tc>
          <w:tcPr>
            <w:tcW w:w="0" w:type="auto"/>
          </w:tcPr>
          <w:p w14:paraId="39366AE0" w14:textId="77777777" w:rsidR="00056AEE" w:rsidRDefault="00056AEE">
            <w:pPr>
              <w:pStyle w:val="CellTextValueNumericGray"/>
            </w:pPr>
          </w:p>
        </w:tc>
        <w:tc>
          <w:tcPr>
            <w:tcW w:w="0" w:type="auto"/>
          </w:tcPr>
          <w:p w14:paraId="77AED4A2" w14:textId="77777777" w:rsidR="00056AEE" w:rsidRDefault="00056AEE">
            <w:pPr>
              <w:pStyle w:val="CellTextValueNumericGray"/>
            </w:pPr>
          </w:p>
        </w:tc>
      </w:tr>
      <w:tr w:rsidR="00056AEE" w14:paraId="75B49E73" w14:textId="77777777">
        <w:tc>
          <w:tcPr>
            <w:tcW w:w="0" w:type="auto"/>
            <w:vMerge w:val="restart"/>
          </w:tcPr>
          <w:p w14:paraId="381FBC12" w14:textId="77777777" w:rsidR="00056AEE" w:rsidRDefault="00A00CB7">
            <w:pPr>
              <w:pStyle w:val="CellTextValue"/>
            </w:pPr>
            <w:r>
              <w:t>Contribution from this part to call HORIZON-MISS-2025-02 under Part 12 of the work programme</w:t>
            </w:r>
          </w:p>
        </w:tc>
        <w:tc>
          <w:tcPr>
            <w:tcW w:w="0" w:type="auto"/>
          </w:tcPr>
          <w:p w14:paraId="347ED2E9" w14:textId="77777777" w:rsidR="00056AEE" w:rsidRDefault="00056AEE">
            <w:pPr>
              <w:pStyle w:val="CellTextValue"/>
            </w:pPr>
          </w:p>
        </w:tc>
        <w:tc>
          <w:tcPr>
            <w:tcW w:w="0" w:type="auto"/>
          </w:tcPr>
          <w:p w14:paraId="006DFC5B" w14:textId="77777777" w:rsidR="00056AEE" w:rsidRDefault="00A00CB7">
            <w:pPr>
              <w:pStyle w:val="CellTextValueNumeric"/>
            </w:pPr>
            <w:r>
              <w:t>102.45</w:t>
            </w:r>
          </w:p>
        </w:tc>
        <w:tc>
          <w:tcPr>
            <w:tcW w:w="0" w:type="auto"/>
          </w:tcPr>
          <w:p w14:paraId="1676DC05" w14:textId="77777777" w:rsidR="00056AEE" w:rsidRDefault="00056AEE">
            <w:pPr>
              <w:pStyle w:val="CellTextValueNumeric"/>
            </w:pPr>
          </w:p>
        </w:tc>
        <w:tc>
          <w:tcPr>
            <w:tcW w:w="0" w:type="auto"/>
          </w:tcPr>
          <w:p w14:paraId="68E35EB1" w14:textId="77777777" w:rsidR="00056AEE" w:rsidRDefault="00056AEE">
            <w:pPr>
              <w:pStyle w:val="CellTextValueNumeric"/>
            </w:pPr>
          </w:p>
        </w:tc>
      </w:tr>
      <w:tr w:rsidR="00056AEE" w14:paraId="17BFD26F" w14:textId="77777777">
        <w:tc>
          <w:tcPr>
            <w:tcW w:w="0" w:type="auto"/>
            <w:vMerge/>
          </w:tcPr>
          <w:p w14:paraId="2D2FAABF" w14:textId="77777777" w:rsidR="00056AEE" w:rsidRDefault="00056AEE">
            <w:pPr>
              <w:pStyle w:val="CellTextValue"/>
            </w:pPr>
          </w:p>
        </w:tc>
        <w:tc>
          <w:tcPr>
            <w:tcW w:w="0" w:type="auto"/>
          </w:tcPr>
          <w:p w14:paraId="18B63CBA" w14:textId="77777777" w:rsidR="00056AEE" w:rsidRDefault="00A00CB7">
            <w:pPr>
              <w:pStyle w:val="CellTextValueGray"/>
            </w:pPr>
            <w:r>
              <w:t>from 01.020210</w:t>
            </w:r>
          </w:p>
        </w:tc>
        <w:tc>
          <w:tcPr>
            <w:tcW w:w="0" w:type="auto"/>
          </w:tcPr>
          <w:p w14:paraId="22446F28" w14:textId="77777777" w:rsidR="00056AEE" w:rsidRDefault="00A00CB7">
            <w:pPr>
              <w:pStyle w:val="CellTextValueNumericGray"/>
            </w:pPr>
            <w:r>
              <w:t>102.45</w:t>
            </w:r>
          </w:p>
        </w:tc>
        <w:tc>
          <w:tcPr>
            <w:tcW w:w="0" w:type="auto"/>
          </w:tcPr>
          <w:p w14:paraId="3669253A" w14:textId="77777777" w:rsidR="00056AEE" w:rsidRDefault="00056AEE">
            <w:pPr>
              <w:pStyle w:val="CellTextValueNumericGray"/>
            </w:pPr>
          </w:p>
        </w:tc>
        <w:tc>
          <w:tcPr>
            <w:tcW w:w="0" w:type="auto"/>
          </w:tcPr>
          <w:p w14:paraId="7AC5F7C9" w14:textId="77777777" w:rsidR="00056AEE" w:rsidRDefault="00056AEE">
            <w:pPr>
              <w:pStyle w:val="CellTextValueNumericGray"/>
            </w:pPr>
          </w:p>
        </w:tc>
      </w:tr>
      <w:tr w:rsidR="00056AEE" w14:paraId="7272DAA7" w14:textId="77777777">
        <w:tc>
          <w:tcPr>
            <w:tcW w:w="0" w:type="auto"/>
            <w:vMerge w:val="restart"/>
          </w:tcPr>
          <w:p w14:paraId="34F89BE8" w14:textId="77777777" w:rsidR="00056AEE" w:rsidRDefault="00A00CB7">
            <w:pPr>
              <w:pStyle w:val="CellTextValue"/>
            </w:pPr>
            <w:r>
              <w:t>Contribution from this part to call HORIZON-MISS-2025-06 under Part 12 of the work programme</w:t>
            </w:r>
          </w:p>
        </w:tc>
        <w:tc>
          <w:tcPr>
            <w:tcW w:w="0" w:type="auto"/>
          </w:tcPr>
          <w:p w14:paraId="4081D3DF" w14:textId="77777777" w:rsidR="00056AEE" w:rsidRDefault="00056AEE">
            <w:pPr>
              <w:pStyle w:val="CellTextValue"/>
            </w:pPr>
          </w:p>
        </w:tc>
        <w:tc>
          <w:tcPr>
            <w:tcW w:w="0" w:type="auto"/>
          </w:tcPr>
          <w:p w14:paraId="4FA9DB84" w14:textId="77777777" w:rsidR="00056AEE" w:rsidRDefault="00A00CB7">
            <w:pPr>
              <w:pStyle w:val="CellTextValueNumeric"/>
            </w:pPr>
            <w:r>
              <w:t>1.77</w:t>
            </w:r>
          </w:p>
        </w:tc>
        <w:tc>
          <w:tcPr>
            <w:tcW w:w="0" w:type="auto"/>
          </w:tcPr>
          <w:p w14:paraId="4257380F" w14:textId="77777777" w:rsidR="00056AEE" w:rsidRDefault="00056AEE">
            <w:pPr>
              <w:pStyle w:val="CellTextValueNumeric"/>
            </w:pPr>
          </w:p>
        </w:tc>
        <w:tc>
          <w:tcPr>
            <w:tcW w:w="0" w:type="auto"/>
          </w:tcPr>
          <w:p w14:paraId="270E80E0" w14:textId="77777777" w:rsidR="00056AEE" w:rsidRDefault="00056AEE">
            <w:pPr>
              <w:pStyle w:val="CellTextValueNumeric"/>
            </w:pPr>
          </w:p>
        </w:tc>
      </w:tr>
      <w:tr w:rsidR="00056AEE" w14:paraId="057585BA" w14:textId="77777777">
        <w:tc>
          <w:tcPr>
            <w:tcW w:w="0" w:type="auto"/>
            <w:vMerge/>
          </w:tcPr>
          <w:p w14:paraId="3B3B2B3C" w14:textId="77777777" w:rsidR="00056AEE" w:rsidRDefault="00056AEE">
            <w:pPr>
              <w:pStyle w:val="CellTextValue"/>
            </w:pPr>
          </w:p>
        </w:tc>
        <w:tc>
          <w:tcPr>
            <w:tcW w:w="0" w:type="auto"/>
          </w:tcPr>
          <w:p w14:paraId="67F66C4B" w14:textId="77777777" w:rsidR="00056AEE" w:rsidRDefault="00A00CB7">
            <w:pPr>
              <w:pStyle w:val="CellTextValueGray"/>
            </w:pPr>
            <w:r>
              <w:t>from 01.020210</w:t>
            </w:r>
          </w:p>
        </w:tc>
        <w:tc>
          <w:tcPr>
            <w:tcW w:w="0" w:type="auto"/>
          </w:tcPr>
          <w:p w14:paraId="73A56EBB" w14:textId="77777777" w:rsidR="00056AEE" w:rsidRDefault="00A00CB7">
            <w:pPr>
              <w:pStyle w:val="CellTextValueNumericGray"/>
            </w:pPr>
            <w:r>
              <w:t>1.77</w:t>
            </w:r>
          </w:p>
        </w:tc>
        <w:tc>
          <w:tcPr>
            <w:tcW w:w="0" w:type="auto"/>
          </w:tcPr>
          <w:p w14:paraId="2C95F4F2" w14:textId="77777777" w:rsidR="00056AEE" w:rsidRDefault="00056AEE">
            <w:pPr>
              <w:pStyle w:val="CellTextValueNumericGray"/>
            </w:pPr>
          </w:p>
        </w:tc>
        <w:tc>
          <w:tcPr>
            <w:tcW w:w="0" w:type="auto"/>
          </w:tcPr>
          <w:p w14:paraId="0FE2A8E1" w14:textId="77777777" w:rsidR="00056AEE" w:rsidRDefault="00056AEE">
            <w:pPr>
              <w:pStyle w:val="CellTextValueNumericGray"/>
            </w:pPr>
          </w:p>
        </w:tc>
      </w:tr>
      <w:tr w:rsidR="00056AEE" w14:paraId="12861E83" w14:textId="77777777">
        <w:tc>
          <w:tcPr>
            <w:tcW w:w="0" w:type="auto"/>
            <w:vMerge w:val="restart"/>
          </w:tcPr>
          <w:p w14:paraId="0897D6B6" w14:textId="77777777" w:rsidR="00056AEE" w:rsidRDefault="00A00CB7">
            <w:pPr>
              <w:pStyle w:val="CellTextValue"/>
            </w:pPr>
            <w:r>
              <w:t>Contribution from this part to call HORIZON-MISS-2025-05 under Part 12 of the work programme</w:t>
            </w:r>
          </w:p>
        </w:tc>
        <w:tc>
          <w:tcPr>
            <w:tcW w:w="0" w:type="auto"/>
          </w:tcPr>
          <w:p w14:paraId="4414C90D" w14:textId="77777777" w:rsidR="00056AEE" w:rsidRDefault="00056AEE">
            <w:pPr>
              <w:pStyle w:val="CellTextValue"/>
            </w:pPr>
          </w:p>
        </w:tc>
        <w:tc>
          <w:tcPr>
            <w:tcW w:w="0" w:type="auto"/>
          </w:tcPr>
          <w:p w14:paraId="6C71D5C1" w14:textId="77777777" w:rsidR="00056AEE" w:rsidRDefault="00A00CB7">
            <w:pPr>
              <w:pStyle w:val="CellTextValueNumeric"/>
            </w:pPr>
            <w:r>
              <w:t>14.83</w:t>
            </w:r>
          </w:p>
        </w:tc>
        <w:tc>
          <w:tcPr>
            <w:tcW w:w="0" w:type="auto"/>
          </w:tcPr>
          <w:p w14:paraId="66224BBD" w14:textId="77777777" w:rsidR="00056AEE" w:rsidRDefault="00056AEE">
            <w:pPr>
              <w:pStyle w:val="CellTextValueNumeric"/>
            </w:pPr>
          </w:p>
        </w:tc>
        <w:tc>
          <w:tcPr>
            <w:tcW w:w="0" w:type="auto"/>
          </w:tcPr>
          <w:p w14:paraId="4CC090F6" w14:textId="77777777" w:rsidR="00056AEE" w:rsidRDefault="00056AEE">
            <w:pPr>
              <w:pStyle w:val="CellTextValueNumeric"/>
            </w:pPr>
          </w:p>
        </w:tc>
      </w:tr>
      <w:tr w:rsidR="00056AEE" w14:paraId="61833C75" w14:textId="77777777">
        <w:tc>
          <w:tcPr>
            <w:tcW w:w="0" w:type="auto"/>
            <w:vMerge/>
          </w:tcPr>
          <w:p w14:paraId="3E4D45B5" w14:textId="77777777" w:rsidR="00056AEE" w:rsidRDefault="00056AEE">
            <w:pPr>
              <w:pStyle w:val="CellTextValue"/>
            </w:pPr>
          </w:p>
        </w:tc>
        <w:tc>
          <w:tcPr>
            <w:tcW w:w="0" w:type="auto"/>
          </w:tcPr>
          <w:p w14:paraId="3577FA7C" w14:textId="77777777" w:rsidR="00056AEE" w:rsidRDefault="00A00CB7">
            <w:pPr>
              <w:pStyle w:val="CellTextValueGray"/>
            </w:pPr>
            <w:r>
              <w:t>from 01.020210</w:t>
            </w:r>
          </w:p>
        </w:tc>
        <w:tc>
          <w:tcPr>
            <w:tcW w:w="0" w:type="auto"/>
          </w:tcPr>
          <w:p w14:paraId="56D136B2" w14:textId="77777777" w:rsidR="00056AEE" w:rsidRDefault="00A00CB7">
            <w:pPr>
              <w:pStyle w:val="CellTextValueNumericGray"/>
            </w:pPr>
            <w:r>
              <w:t>14.83</w:t>
            </w:r>
          </w:p>
        </w:tc>
        <w:tc>
          <w:tcPr>
            <w:tcW w:w="0" w:type="auto"/>
          </w:tcPr>
          <w:p w14:paraId="332C27BA" w14:textId="77777777" w:rsidR="00056AEE" w:rsidRDefault="00056AEE">
            <w:pPr>
              <w:pStyle w:val="CellTextValueNumericGray"/>
            </w:pPr>
          </w:p>
        </w:tc>
        <w:tc>
          <w:tcPr>
            <w:tcW w:w="0" w:type="auto"/>
          </w:tcPr>
          <w:p w14:paraId="3FFCD4F9" w14:textId="77777777" w:rsidR="00056AEE" w:rsidRDefault="00056AEE">
            <w:pPr>
              <w:pStyle w:val="CellTextValueNumericGray"/>
            </w:pPr>
          </w:p>
        </w:tc>
      </w:tr>
      <w:tr w:rsidR="00056AEE" w14:paraId="017F2773" w14:textId="77777777">
        <w:tc>
          <w:tcPr>
            <w:tcW w:w="0" w:type="auto"/>
            <w:vMerge w:val="restart"/>
          </w:tcPr>
          <w:p w14:paraId="02B332D8" w14:textId="77777777" w:rsidR="00056AEE" w:rsidRDefault="00A00CB7">
            <w:pPr>
              <w:pStyle w:val="CellTextValue"/>
            </w:pPr>
            <w:r>
              <w:t>Contribution from this part to call HORIZON-MISS-2025-07 under Part 12 of the work programme</w:t>
            </w:r>
          </w:p>
        </w:tc>
        <w:tc>
          <w:tcPr>
            <w:tcW w:w="0" w:type="auto"/>
          </w:tcPr>
          <w:p w14:paraId="2FB22FE2" w14:textId="77777777" w:rsidR="00056AEE" w:rsidRDefault="00056AEE">
            <w:pPr>
              <w:pStyle w:val="CellTextValue"/>
            </w:pPr>
          </w:p>
        </w:tc>
        <w:tc>
          <w:tcPr>
            <w:tcW w:w="0" w:type="auto"/>
          </w:tcPr>
          <w:p w14:paraId="61E3B968" w14:textId="77777777" w:rsidR="00056AEE" w:rsidRDefault="00A00CB7">
            <w:pPr>
              <w:pStyle w:val="CellTextValueNumeric"/>
            </w:pPr>
            <w:r>
              <w:t>0.99</w:t>
            </w:r>
          </w:p>
        </w:tc>
        <w:tc>
          <w:tcPr>
            <w:tcW w:w="0" w:type="auto"/>
          </w:tcPr>
          <w:p w14:paraId="784CC67C" w14:textId="77777777" w:rsidR="00056AEE" w:rsidRDefault="00056AEE">
            <w:pPr>
              <w:pStyle w:val="CellTextValueNumeric"/>
            </w:pPr>
          </w:p>
        </w:tc>
        <w:tc>
          <w:tcPr>
            <w:tcW w:w="0" w:type="auto"/>
          </w:tcPr>
          <w:p w14:paraId="34677EFB" w14:textId="77777777" w:rsidR="00056AEE" w:rsidRDefault="00056AEE">
            <w:pPr>
              <w:pStyle w:val="CellTextValueNumeric"/>
            </w:pPr>
          </w:p>
        </w:tc>
      </w:tr>
      <w:tr w:rsidR="00056AEE" w14:paraId="108D220D" w14:textId="77777777">
        <w:tc>
          <w:tcPr>
            <w:tcW w:w="0" w:type="auto"/>
            <w:vMerge/>
          </w:tcPr>
          <w:p w14:paraId="0619061A" w14:textId="77777777" w:rsidR="00056AEE" w:rsidRDefault="00056AEE">
            <w:pPr>
              <w:pStyle w:val="CellTextValue"/>
            </w:pPr>
          </w:p>
        </w:tc>
        <w:tc>
          <w:tcPr>
            <w:tcW w:w="0" w:type="auto"/>
          </w:tcPr>
          <w:p w14:paraId="090BC414" w14:textId="77777777" w:rsidR="00056AEE" w:rsidRDefault="00A00CB7">
            <w:pPr>
              <w:pStyle w:val="CellTextValueGray"/>
            </w:pPr>
            <w:r>
              <w:t>from 01.020210</w:t>
            </w:r>
          </w:p>
        </w:tc>
        <w:tc>
          <w:tcPr>
            <w:tcW w:w="0" w:type="auto"/>
          </w:tcPr>
          <w:p w14:paraId="236DEDD2" w14:textId="77777777" w:rsidR="00056AEE" w:rsidRDefault="00A00CB7">
            <w:pPr>
              <w:pStyle w:val="CellTextValueNumericGray"/>
            </w:pPr>
            <w:r>
              <w:t>0.99</w:t>
            </w:r>
          </w:p>
        </w:tc>
        <w:tc>
          <w:tcPr>
            <w:tcW w:w="0" w:type="auto"/>
          </w:tcPr>
          <w:p w14:paraId="4B494E7D" w14:textId="77777777" w:rsidR="00056AEE" w:rsidRDefault="00056AEE">
            <w:pPr>
              <w:pStyle w:val="CellTextValueNumericGray"/>
            </w:pPr>
          </w:p>
        </w:tc>
        <w:tc>
          <w:tcPr>
            <w:tcW w:w="0" w:type="auto"/>
          </w:tcPr>
          <w:p w14:paraId="5654DC1D" w14:textId="77777777" w:rsidR="00056AEE" w:rsidRDefault="00056AEE">
            <w:pPr>
              <w:pStyle w:val="CellTextValueNumericGray"/>
            </w:pPr>
          </w:p>
        </w:tc>
      </w:tr>
      <w:tr w:rsidR="003A38F8" w14:paraId="4921C730" w14:textId="77777777" w:rsidTr="003A38F8">
        <w:tc>
          <w:tcPr>
            <w:tcW w:w="0" w:type="auto"/>
            <w:gridSpan w:val="5"/>
          </w:tcPr>
          <w:p w14:paraId="115FF437" w14:textId="77777777" w:rsidR="00056AEE" w:rsidRDefault="00A00CB7">
            <w:pPr>
              <w:pStyle w:val="CellHeaderTextValue"/>
              <w:jc w:val="left"/>
            </w:pPr>
            <w:r>
              <w:rPr>
                <w:b/>
              </w:rPr>
              <w:t>Other actions</w:t>
            </w:r>
          </w:p>
        </w:tc>
      </w:tr>
      <w:tr w:rsidR="00056AEE" w14:paraId="0D56A0F6" w14:textId="77777777">
        <w:tc>
          <w:tcPr>
            <w:tcW w:w="0" w:type="auto"/>
            <w:vMerge w:val="restart"/>
          </w:tcPr>
          <w:p w14:paraId="2FE36484" w14:textId="77777777" w:rsidR="00056AEE" w:rsidRDefault="00A00CB7">
            <w:pPr>
              <w:pStyle w:val="CellTextValue"/>
            </w:pPr>
            <w:r>
              <w:lastRenderedPageBreak/>
              <w:t>Grant to identified beneficiary according to Financial Regulation Article 195(e)</w:t>
            </w:r>
          </w:p>
        </w:tc>
        <w:tc>
          <w:tcPr>
            <w:tcW w:w="0" w:type="auto"/>
          </w:tcPr>
          <w:p w14:paraId="4193DAE5" w14:textId="77777777" w:rsidR="00056AEE" w:rsidRDefault="00056AEE">
            <w:pPr>
              <w:pStyle w:val="CellTextValue"/>
            </w:pPr>
          </w:p>
        </w:tc>
        <w:tc>
          <w:tcPr>
            <w:tcW w:w="0" w:type="auto"/>
          </w:tcPr>
          <w:p w14:paraId="60414CD8" w14:textId="77777777" w:rsidR="00056AEE" w:rsidRDefault="00A00CB7">
            <w:pPr>
              <w:pStyle w:val="CellTextValueNumeric"/>
            </w:pPr>
            <w:r>
              <w:t>0.50</w:t>
            </w:r>
          </w:p>
        </w:tc>
        <w:tc>
          <w:tcPr>
            <w:tcW w:w="0" w:type="auto"/>
          </w:tcPr>
          <w:p w14:paraId="442DE983" w14:textId="77777777" w:rsidR="00056AEE" w:rsidRDefault="00056AEE">
            <w:pPr>
              <w:pStyle w:val="CellTextValueNumeric"/>
            </w:pPr>
          </w:p>
        </w:tc>
        <w:tc>
          <w:tcPr>
            <w:tcW w:w="0" w:type="auto"/>
          </w:tcPr>
          <w:p w14:paraId="306427C6" w14:textId="77777777" w:rsidR="00056AEE" w:rsidRDefault="00056AEE">
            <w:pPr>
              <w:pStyle w:val="CellTextValueNumeric"/>
            </w:pPr>
          </w:p>
        </w:tc>
      </w:tr>
      <w:tr w:rsidR="00056AEE" w14:paraId="4928FAE5" w14:textId="77777777">
        <w:tc>
          <w:tcPr>
            <w:tcW w:w="0" w:type="auto"/>
            <w:vMerge/>
          </w:tcPr>
          <w:p w14:paraId="4F69C286" w14:textId="77777777" w:rsidR="00056AEE" w:rsidRDefault="00056AEE">
            <w:pPr>
              <w:pStyle w:val="CellTextValue"/>
            </w:pPr>
          </w:p>
        </w:tc>
        <w:tc>
          <w:tcPr>
            <w:tcW w:w="0" w:type="auto"/>
          </w:tcPr>
          <w:p w14:paraId="2758819F" w14:textId="77777777" w:rsidR="00056AEE" w:rsidRDefault="00A00CB7">
            <w:pPr>
              <w:pStyle w:val="CellTextValueGray"/>
            </w:pPr>
            <w:r>
              <w:t>from 01.020210</w:t>
            </w:r>
          </w:p>
        </w:tc>
        <w:tc>
          <w:tcPr>
            <w:tcW w:w="0" w:type="auto"/>
          </w:tcPr>
          <w:p w14:paraId="09717CAB" w14:textId="77777777" w:rsidR="00056AEE" w:rsidRDefault="00A00CB7">
            <w:pPr>
              <w:pStyle w:val="CellTextValueNumericGray"/>
            </w:pPr>
            <w:r>
              <w:t>0.50</w:t>
            </w:r>
          </w:p>
        </w:tc>
        <w:tc>
          <w:tcPr>
            <w:tcW w:w="0" w:type="auto"/>
          </w:tcPr>
          <w:p w14:paraId="61C85FAC" w14:textId="77777777" w:rsidR="00056AEE" w:rsidRDefault="00056AEE">
            <w:pPr>
              <w:pStyle w:val="CellTextValueNumericGray"/>
            </w:pPr>
          </w:p>
        </w:tc>
        <w:tc>
          <w:tcPr>
            <w:tcW w:w="0" w:type="auto"/>
          </w:tcPr>
          <w:p w14:paraId="5F0B221F" w14:textId="77777777" w:rsidR="00056AEE" w:rsidRDefault="00056AEE">
            <w:pPr>
              <w:pStyle w:val="CellTextValueNumericGray"/>
            </w:pPr>
          </w:p>
        </w:tc>
      </w:tr>
      <w:tr w:rsidR="00056AEE" w14:paraId="5945E172" w14:textId="77777777">
        <w:tc>
          <w:tcPr>
            <w:tcW w:w="0" w:type="auto"/>
            <w:vMerge w:val="restart"/>
          </w:tcPr>
          <w:p w14:paraId="442DF1CB" w14:textId="77777777" w:rsidR="00056AEE" w:rsidRDefault="00A00CB7">
            <w:pPr>
              <w:pStyle w:val="CellTextValue"/>
            </w:pPr>
            <w:r>
              <w:t>Public procurement</w:t>
            </w:r>
          </w:p>
        </w:tc>
        <w:tc>
          <w:tcPr>
            <w:tcW w:w="0" w:type="auto"/>
          </w:tcPr>
          <w:p w14:paraId="31A1C0FA" w14:textId="77777777" w:rsidR="00056AEE" w:rsidRDefault="00056AEE">
            <w:pPr>
              <w:pStyle w:val="CellTextValue"/>
            </w:pPr>
          </w:p>
        </w:tc>
        <w:tc>
          <w:tcPr>
            <w:tcW w:w="0" w:type="auto"/>
          </w:tcPr>
          <w:p w14:paraId="2575148F" w14:textId="77777777" w:rsidR="00056AEE" w:rsidRDefault="00A00CB7">
            <w:pPr>
              <w:pStyle w:val="CellTextValueNumeric"/>
            </w:pPr>
            <w:r>
              <w:t>10.00</w:t>
            </w:r>
          </w:p>
        </w:tc>
        <w:tc>
          <w:tcPr>
            <w:tcW w:w="0" w:type="auto"/>
          </w:tcPr>
          <w:p w14:paraId="17A26E58" w14:textId="77777777" w:rsidR="00056AEE" w:rsidRDefault="00056AEE">
            <w:pPr>
              <w:pStyle w:val="CellTextValueNumeric"/>
            </w:pPr>
          </w:p>
        </w:tc>
        <w:tc>
          <w:tcPr>
            <w:tcW w:w="0" w:type="auto"/>
          </w:tcPr>
          <w:p w14:paraId="4D6FE8E1" w14:textId="77777777" w:rsidR="00056AEE" w:rsidRDefault="00056AEE">
            <w:pPr>
              <w:pStyle w:val="CellTextValueNumeric"/>
            </w:pPr>
          </w:p>
        </w:tc>
      </w:tr>
      <w:tr w:rsidR="00056AEE" w14:paraId="081AC1D0" w14:textId="77777777">
        <w:tc>
          <w:tcPr>
            <w:tcW w:w="0" w:type="auto"/>
            <w:vMerge/>
          </w:tcPr>
          <w:p w14:paraId="68E6A6DB" w14:textId="77777777" w:rsidR="00056AEE" w:rsidRDefault="00056AEE">
            <w:pPr>
              <w:pStyle w:val="CellTextValue"/>
            </w:pPr>
          </w:p>
        </w:tc>
        <w:tc>
          <w:tcPr>
            <w:tcW w:w="0" w:type="auto"/>
          </w:tcPr>
          <w:p w14:paraId="739C1498" w14:textId="77777777" w:rsidR="00056AEE" w:rsidRDefault="00A00CB7">
            <w:pPr>
              <w:pStyle w:val="CellTextValueGray"/>
            </w:pPr>
            <w:r>
              <w:t>from 01.020210</w:t>
            </w:r>
          </w:p>
        </w:tc>
        <w:tc>
          <w:tcPr>
            <w:tcW w:w="0" w:type="auto"/>
          </w:tcPr>
          <w:p w14:paraId="45CF00C8" w14:textId="77777777" w:rsidR="00056AEE" w:rsidRDefault="00A00CB7">
            <w:pPr>
              <w:pStyle w:val="CellTextValueNumericGray"/>
            </w:pPr>
            <w:r>
              <w:t>10.00</w:t>
            </w:r>
          </w:p>
        </w:tc>
        <w:tc>
          <w:tcPr>
            <w:tcW w:w="0" w:type="auto"/>
          </w:tcPr>
          <w:p w14:paraId="315DD259" w14:textId="77777777" w:rsidR="00056AEE" w:rsidRDefault="00056AEE">
            <w:pPr>
              <w:pStyle w:val="CellTextValueNumericGray"/>
            </w:pPr>
          </w:p>
        </w:tc>
        <w:tc>
          <w:tcPr>
            <w:tcW w:w="0" w:type="auto"/>
          </w:tcPr>
          <w:p w14:paraId="775B6410" w14:textId="77777777" w:rsidR="00056AEE" w:rsidRDefault="00056AEE">
            <w:pPr>
              <w:pStyle w:val="CellTextValueNumericGray"/>
            </w:pPr>
          </w:p>
        </w:tc>
      </w:tr>
      <w:tr w:rsidR="00056AEE" w14:paraId="4A7AC59B" w14:textId="77777777">
        <w:tc>
          <w:tcPr>
            <w:tcW w:w="0" w:type="auto"/>
            <w:vMerge w:val="restart"/>
          </w:tcPr>
          <w:p w14:paraId="0589EFC1" w14:textId="77777777" w:rsidR="00056AEE" w:rsidRDefault="00A00CB7">
            <w:pPr>
              <w:pStyle w:val="CellTextValue"/>
            </w:pPr>
            <w:r>
              <w:t>Subscription action</w:t>
            </w:r>
          </w:p>
        </w:tc>
        <w:tc>
          <w:tcPr>
            <w:tcW w:w="0" w:type="auto"/>
          </w:tcPr>
          <w:p w14:paraId="17BF7284" w14:textId="77777777" w:rsidR="00056AEE" w:rsidRDefault="00056AEE">
            <w:pPr>
              <w:pStyle w:val="CellTextValue"/>
            </w:pPr>
          </w:p>
        </w:tc>
        <w:tc>
          <w:tcPr>
            <w:tcW w:w="0" w:type="auto"/>
          </w:tcPr>
          <w:p w14:paraId="2698FCA9" w14:textId="77777777" w:rsidR="00056AEE" w:rsidRDefault="00A00CB7">
            <w:pPr>
              <w:pStyle w:val="CellTextValueNumeric"/>
            </w:pPr>
            <w:r>
              <w:t>6.92</w:t>
            </w:r>
          </w:p>
        </w:tc>
        <w:tc>
          <w:tcPr>
            <w:tcW w:w="0" w:type="auto"/>
          </w:tcPr>
          <w:p w14:paraId="5621968A" w14:textId="77777777" w:rsidR="00056AEE" w:rsidRDefault="00056AEE">
            <w:pPr>
              <w:pStyle w:val="CellTextValueNumeric"/>
            </w:pPr>
          </w:p>
        </w:tc>
        <w:tc>
          <w:tcPr>
            <w:tcW w:w="0" w:type="auto"/>
          </w:tcPr>
          <w:p w14:paraId="61992058" w14:textId="77777777" w:rsidR="00056AEE" w:rsidRDefault="00056AEE">
            <w:pPr>
              <w:pStyle w:val="CellTextValueNumeric"/>
            </w:pPr>
          </w:p>
        </w:tc>
      </w:tr>
      <w:tr w:rsidR="00056AEE" w14:paraId="15A9B0CF" w14:textId="77777777">
        <w:tc>
          <w:tcPr>
            <w:tcW w:w="0" w:type="auto"/>
            <w:vMerge/>
          </w:tcPr>
          <w:p w14:paraId="62FBABE4" w14:textId="77777777" w:rsidR="00056AEE" w:rsidRDefault="00056AEE">
            <w:pPr>
              <w:pStyle w:val="CellTextValue"/>
            </w:pPr>
          </w:p>
        </w:tc>
        <w:tc>
          <w:tcPr>
            <w:tcW w:w="0" w:type="auto"/>
          </w:tcPr>
          <w:p w14:paraId="6BFE28D6" w14:textId="77777777" w:rsidR="00056AEE" w:rsidRDefault="00A00CB7">
            <w:pPr>
              <w:pStyle w:val="CellTextValueGray"/>
            </w:pPr>
            <w:r>
              <w:t>from 01.020210</w:t>
            </w:r>
          </w:p>
        </w:tc>
        <w:tc>
          <w:tcPr>
            <w:tcW w:w="0" w:type="auto"/>
          </w:tcPr>
          <w:p w14:paraId="10717FDF" w14:textId="77777777" w:rsidR="00056AEE" w:rsidRDefault="00A00CB7">
            <w:pPr>
              <w:pStyle w:val="CellTextValueNumericGray"/>
            </w:pPr>
            <w:r>
              <w:t>6.92</w:t>
            </w:r>
          </w:p>
        </w:tc>
        <w:tc>
          <w:tcPr>
            <w:tcW w:w="0" w:type="auto"/>
          </w:tcPr>
          <w:p w14:paraId="6D4357AA" w14:textId="77777777" w:rsidR="00056AEE" w:rsidRDefault="00056AEE">
            <w:pPr>
              <w:pStyle w:val="CellTextValueNumericGray"/>
            </w:pPr>
          </w:p>
        </w:tc>
        <w:tc>
          <w:tcPr>
            <w:tcW w:w="0" w:type="auto"/>
          </w:tcPr>
          <w:p w14:paraId="4B8703CD" w14:textId="77777777" w:rsidR="00056AEE" w:rsidRDefault="00056AEE">
            <w:pPr>
              <w:pStyle w:val="CellTextValueNumericGray"/>
            </w:pPr>
          </w:p>
        </w:tc>
      </w:tr>
      <w:tr w:rsidR="00056AEE" w14:paraId="6DA0A0A7" w14:textId="77777777">
        <w:tc>
          <w:tcPr>
            <w:tcW w:w="0" w:type="auto"/>
            <w:vMerge w:val="restart"/>
          </w:tcPr>
          <w:p w14:paraId="29F0A6CE" w14:textId="77777777" w:rsidR="00056AEE" w:rsidRDefault="00A00CB7">
            <w:pPr>
              <w:pStyle w:val="CellTextValue"/>
            </w:pPr>
            <w:r>
              <w:t xml:space="preserve">Contribution from this part to </w:t>
            </w:r>
            <w:proofErr w:type="gramStart"/>
            <w:r>
              <w:t>Public</w:t>
            </w:r>
            <w:proofErr w:type="gramEnd"/>
            <w:r>
              <w:t xml:space="preserve"> procurement under Part 12 of the work programme</w:t>
            </w:r>
          </w:p>
        </w:tc>
        <w:tc>
          <w:tcPr>
            <w:tcW w:w="0" w:type="auto"/>
          </w:tcPr>
          <w:p w14:paraId="103BE9C2" w14:textId="77777777" w:rsidR="00056AEE" w:rsidRDefault="00056AEE">
            <w:pPr>
              <w:pStyle w:val="CellTextValue"/>
            </w:pPr>
          </w:p>
        </w:tc>
        <w:tc>
          <w:tcPr>
            <w:tcW w:w="0" w:type="auto"/>
          </w:tcPr>
          <w:p w14:paraId="65835E70" w14:textId="77777777" w:rsidR="00056AEE" w:rsidRDefault="00A00CB7">
            <w:pPr>
              <w:pStyle w:val="CellTextValueNumeric"/>
            </w:pPr>
            <w:r>
              <w:t>4.10</w:t>
            </w:r>
          </w:p>
        </w:tc>
        <w:tc>
          <w:tcPr>
            <w:tcW w:w="0" w:type="auto"/>
          </w:tcPr>
          <w:p w14:paraId="7BCAD9E8" w14:textId="77777777" w:rsidR="00056AEE" w:rsidRDefault="00A00CB7">
            <w:pPr>
              <w:pStyle w:val="CellTextValueNumeric"/>
            </w:pPr>
            <w:r>
              <w:t>0.50</w:t>
            </w:r>
          </w:p>
        </w:tc>
        <w:tc>
          <w:tcPr>
            <w:tcW w:w="0" w:type="auto"/>
          </w:tcPr>
          <w:p w14:paraId="301696B6" w14:textId="77777777" w:rsidR="00056AEE" w:rsidRDefault="00056AEE">
            <w:pPr>
              <w:pStyle w:val="CellTextValueNumeric"/>
            </w:pPr>
          </w:p>
        </w:tc>
      </w:tr>
      <w:tr w:rsidR="00056AEE" w14:paraId="094F3979" w14:textId="77777777">
        <w:tc>
          <w:tcPr>
            <w:tcW w:w="0" w:type="auto"/>
            <w:vMerge/>
          </w:tcPr>
          <w:p w14:paraId="46400D05" w14:textId="77777777" w:rsidR="00056AEE" w:rsidRDefault="00056AEE">
            <w:pPr>
              <w:pStyle w:val="CellTextValue"/>
            </w:pPr>
          </w:p>
        </w:tc>
        <w:tc>
          <w:tcPr>
            <w:tcW w:w="0" w:type="auto"/>
          </w:tcPr>
          <w:p w14:paraId="22405774" w14:textId="77777777" w:rsidR="00056AEE" w:rsidRDefault="00A00CB7">
            <w:pPr>
              <w:pStyle w:val="CellTextValueGray"/>
            </w:pPr>
            <w:r>
              <w:t>from 01.020210</w:t>
            </w:r>
          </w:p>
        </w:tc>
        <w:tc>
          <w:tcPr>
            <w:tcW w:w="0" w:type="auto"/>
          </w:tcPr>
          <w:p w14:paraId="1967C06E" w14:textId="77777777" w:rsidR="00056AEE" w:rsidRDefault="00A00CB7">
            <w:pPr>
              <w:pStyle w:val="CellTextValueNumericGray"/>
            </w:pPr>
            <w:r>
              <w:t>4.10</w:t>
            </w:r>
          </w:p>
        </w:tc>
        <w:tc>
          <w:tcPr>
            <w:tcW w:w="0" w:type="auto"/>
          </w:tcPr>
          <w:p w14:paraId="3C4DF3C8" w14:textId="77777777" w:rsidR="00056AEE" w:rsidRDefault="00A00CB7">
            <w:pPr>
              <w:pStyle w:val="CellTextValueNumericGray"/>
            </w:pPr>
            <w:r>
              <w:t>0.50</w:t>
            </w:r>
          </w:p>
        </w:tc>
        <w:tc>
          <w:tcPr>
            <w:tcW w:w="0" w:type="auto"/>
          </w:tcPr>
          <w:p w14:paraId="158E25DD" w14:textId="77777777" w:rsidR="00056AEE" w:rsidRDefault="00056AEE">
            <w:pPr>
              <w:pStyle w:val="CellTextValueNumericGray"/>
            </w:pPr>
          </w:p>
        </w:tc>
      </w:tr>
      <w:tr w:rsidR="00056AEE" w14:paraId="70110123" w14:textId="77777777">
        <w:tc>
          <w:tcPr>
            <w:tcW w:w="0" w:type="auto"/>
            <w:vMerge w:val="restart"/>
          </w:tcPr>
          <w:p w14:paraId="3F5C948C" w14:textId="77777777" w:rsidR="00056AEE" w:rsidRDefault="00A00CB7">
            <w:pPr>
              <w:pStyle w:val="CellTextValue"/>
            </w:pPr>
            <w:r>
              <w:t>Contribution from this part to Indirectly managed action under Part 12 of the work programme</w:t>
            </w:r>
          </w:p>
        </w:tc>
        <w:tc>
          <w:tcPr>
            <w:tcW w:w="0" w:type="auto"/>
          </w:tcPr>
          <w:p w14:paraId="5DBBA489" w14:textId="77777777" w:rsidR="00056AEE" w:rsidRDefault="00056AEE">
            <w:pPr>
              <w:pStyle w:val="CellTextValue"/>
            </w:pPr>
          </w:p>
        </w:tc>
        <w:tc>
          <w:tcPr>
            <w:tcW w:w="0" w:type="auto"/>
          </w:tcPr>
          <w:p w14:paraId="02A40845" w14:textId="77777777" w:rsidR="00056AEE" w:rsidRDefault="00A00CB7">
            <w:pPr>
              <w:pStyle w:val="CellTextValueNumeric"/>
            </w:pPr>
            <w:r>
              <w:t>2.78</w:t>
            </w:r>
          </w:p>
        </w:tc>
        <w:tc>
          <w:tcPr>
            <w:tcW w:w="0" w:type="auto"/>
          </w:tcPr>
          <w:p w14:paraId="69DDF324" w14:textId="77777777" w:rsidR="00056AEE" w:rsidRDefault="00056AEE">
            <w:pPr>
              <w:pStyle w:val="CellTextValueNumeric"/>
            </w:pPr>
          </w:p>
        </w:tc>
        <w:tc>
          <w:tcPr>
            <w:tcW w:w="0" w:type="auto"/>
          </w:tcPr>
          <w:p w14:paraId="02C58F24" w14:textId="77777777" w:rsidR="00056AEE" w:rsidRDefault="00056AEE">
            <w:pPr>
              <w:pStyle w:val="CellTextValueNumeric"/>
            </w:pPr>
          </w:p>
        </w:tc>
      </w:tr>
      <w:tr w:rsidR="00056AEE" w14:paraId="3E4479ED" w14:textId="77777777">
        <w:tc>
          <w:tcPr>
            <w:tcW w:w="0" w:type="auto"/>
            <w:vMerge/>
          </w:tcPr>
          <w:p w14:paraId="57658A3C" w14:textId="77777777" w:rsidR="00056AEE" w:rsidRDefault="00056AEE">
            <w:pPr>
              <w:pStyle w:val="CellTextValue"/>
            </w:pPr>
          </w:p>
        </w:tc>
        <w:tc>
          <w:tcPr>
            <w:tcW w:w="0" w:type="auto"/>
          </w:tcPr>
          <w:p w14:paraId="6D750D90" w14:textId="77777777" w:rsidR="00056AEE" w:rsidRDefault="00A00CB7">
            <w:pPr>
              <w:pStyle w:val="CellTextValueGray"/>
            </w:pPr>
            <w:r>
              <w:t>from 01.020210</w:t>
            </w:r>
          </w:p>
        </w:tc>
        <w:tc>
          <w:tcPr>
            <w:tcW w:w="0" w:type="auto"/>
          </w:tcPr>
          <w:p w14:paraId="3E96517D" w14:textId="77777777" w:rsidR="00056AEE" w:rsidRDefault="00A00CB7">
            <w:pPr>
              <w:pStyle w:val="CellTextValueNumericGray"/>
            </w:pPr>
            <w:r>
              <w:t>2.78</w:t>
            </w:r>
          </w:p>
        </w:tc>
        <w:tc>
          <w:tcPr>
            <w:tcW w:w="0" w:type="auto"/>
          </w:tcPr>
          <w:p w14:paraId="27C0EBC6" w14:textId="77777777" w:rsidR="00056AEE" w:rsidRDefault="00056AEE">
            <w:pPr>
              <w:pStyle w:val="CellTextValueNumericGray"/>
            </w:pPr>
          </w:p>
        </w:tc>
        <w:tc>
          <w:tcPr>
            <w:tcW w:w="0" w:type="auto"/>
          </w:tcPr>
          <w:p w14:paraId="2F21C9B9" w14:textId="77777777" w:rsidR="00056AEE" w:rsidRDefault="00056AEE">
            <w:pPr>
              <w:pStyle w:val="CellTextValueNumericGray"/>
            </w:pPr>
          </w:p>
        </w:tc>
      </w:tr>
      <w:tr w:rsidR="00056AEE" w14:paraId="43B5E353" w14:textId="77777777">
        <w:tc>
          <w:tcPr>
            <w:tcW w:w="0" w:type="auto"/>
            <w:vMerge w:val="restart"/>
          </w:tcPr>
          <w:p w14:paraId="64064A05" w14:textId="77777777" w:rsidR="00056AEE" w:rsidRDefault="00A00CB7">
            <w:pPr>
              <w:pStyle w:val="CellTextValue"/>
            </w:pPr>
            <w:r>
              <w:t>Contribution from this part to Expert contract action under Part 12 of the work programme</w:t>
            </w:r>
          </w:p>
        </w:tc>
        <w:tc>
          <w:tcPr>
            <w:tcW w:w="0" w:type="auto"/>
          </w:tcPr>
          <w:p w14:paraId="6052823F" w14:textId="77777777" w:rsidR="00056AEE" w:rsidRDefault="00056AEE">
            <w:pPr>
              <w:pStyle w:val="CellTextValue"/>
            </w:pPr>
          </w:p>
        </w:tc>
        <w:tc>
          <w:tcPr>
            <w:tcW w:w="0" w:type="auto"/>
          </w:tcPr>
          <w:p w14:paraId="585BA252" w14:textId="77777777" w:rsidR="00056AEE" w:rsidRDefault="00A00CB7">
            <w:pPr>
              <w:pStyle w:val="CellTextValueNumeric"/>
            </w:pPr>
            <w:r>
              <w:t>0.32</w:t>
            </w:r>
          </w:p>
        </w:tc>
        <w:tc>
          <w:tcPr>
            <w:tcW w:w="0" w:type="auto"/>
          </w:tcPr>
          <w:p w14:paraId="4E6F1228" w14:textId="77777777" w:rsidR="00056AEE" w:rsidRDefault="00056AEE">
            <w:pPr>
              <w:pStyle w:val="CellTextValueNumeric"/>
            </w:pPr>
          </w:p>
        </w:tc>
        <w:tc>
          <w:tcPr>
            <w:tcW w:w="0" w:type="auto"/>
          </w:tcPr>
          <w:p w14:paraId="161877BA" w14:textId="77777777" w:rsidR="00056AEE" w:rsidRDefault="00056AEE">
            <w:pPr>
              <w:pStyle w:val="CellTextValueNumeric"/>
            </w:pPr>
          </w:p>
        </w:tc>
      </w:tr>
      <w:tr w:rsidR="00056AEE" w14:paraId="273F1349" w14:textId="77777777">
        <w:tc>
          <w:tcPr>
            <w:tcW w:w="0" w:type="auto"/>
            <w:vMerge/>
          </w:tcPr>
          <w:p w14:paraId="33DECF4E" w14:textId="77777777" w:rsidR="00056AEE" w:rsidRDefault="00056AEE">
            <w:pPr>
              <w:pStyle w:val="CellTextValue"/>
            </w:pPr>
          </w:p>
        </w:tc>
        <w:tc>
          <w:tcPr>
            <w:tcW w:w="0" w:type="auto"/>
          </w:tcPr>
          <w:p w14:paraId="05C3A93F" w14:textId="77777777" w:rsidR="00056AEE" w:rsidRDefault="00A00CB7">
            <w:pPr>
              <w:pStyle w:val="CellTextValueGray"/>
            </w:pPr>
            <w:r>
              <w:t>from 01.020210</w:t>
            </w:r>
          </w:p>
        </w:tc>
        <w:tc>
          <w:tcPr>
            <w:tcW w:w="0" w:type="auto"/>
          </w:tcPr>
          <w:p w14:paraId="3E409B6C" w14:textId="77777777" w:rsidR="00056AEE" w:rsidRDefault="00A00CB7">
            <w:pPr>
              <w:pStyle w:val="CellTextValueNumericGray"/>
            </w:pPr>
            <w:r>
              <w:t>0.32</w:t>
            </w:r>
          </w:p>
        </w:tc>
        <w:tc>
          <w:tcPr>
            <w:tcW w:w="0" w:type="auto"/>
          </w:tcPr>
          <w:p w14:paraId="4F97474A" w14:textId="77777777" w:rsidR="00056AEE" w:rsidRDefault="00056AEE">
            <w:pPr>
              <w:pStyle w:val="CellTextValueNumericGray"/>
            </w:pPr>
          </w:p>
        </w:tc>
        <w:tc>
          <w:tcPr>
            <w:tcW w:w="0" w:type="auto"/>
          </w:tcPr>
          <w:p w14:paraId="7996BF8A" w14:textId="77777777" w:rsidR="00056AEE" w:rsidRDefault="00056AEE">
            <w:pPr>
              <w:pStyle w:val="CellTextValueNumericGray"/>
            </w:pPr>
          </w:p>
        </w:tc>
      </w:tr>
      <w:tr w:rsidR="003A38F8" w14:paraId="11472050" w14:textId="77777777" w:rsidTr="003A38F8">
        <w:tc>
          <w:tcPr>
            <w:tcW w:w="0" w:type="auto"/>
            <w:gridSpan w:val="2"/>
          </w:tcPr>
          <w:p w14:paraId="39D39EA1" w14:textId="77777777" w:rsidR="00056AEE" w:rsidRDefault="00A00CB7">
            <w:pPr>
              <w:pStyle w:val="CellTextValue"/>
            </w:pPr>
            <w:r>
              <w:rPr>
                <w:b/>
              </w:rPr>
              <w:t>Estimated total budget</w:t>
            </w:r>
          </w:p>
        </w:tc>
        <w:tc>
          <w:tcPr>
            <w:tcW w:w="0" w:type="auto"/>
          </w:tcPr>
          <w:p w14:paraId="75DC5171" w14:textId="77777777" w:rsidR="00056AEE" w:rsidRDefault="00A00CB7">
            <w:pPr>
              <w:pStyle w:val="CellTextValueNumeric"/>
            </w:pPr>
            <w:r>
              <w:t>902.66</w:t>
            </w:r>
          </w:p>
        </w:tc>
        <w:tc>
          <w:tcPr>
            <w:tcW w:w="0" w:type="auto"/>
          </w:tcPr>
          <w:p w14:paraId="202D3FB5" w14:textId="77777777" w:rsidR="00056AEE" w:rsidRDefault="00A00CB7">
            <w:pPr>
              <w:pStyle w:val="CellTextValueNumeric"/>
            </w:pPr>
            <w:r>
              <w:t>70.50</w:t>
            </w:r>
          </w:p>
        </w:tc>
        <w:tc>
          <w:tcPr>
            <w:tcW w:w="0" w:type="auto"/>
          </w:tcPr>
          <w:p w14:paraId="02F1CCB6" w14:textId="77777777" w:rsidR="00056AEE" w:rsidRDefault="00A00CB7">
            <w:pPr>
              <w:pStyle w:val="CellTextValueNumeric"/>
            </w:pPr>
            <w:r>
              <w:t>50.00</w:t>
            </w:r>
          </w:p>
        </w:tc>
      </w:tr>
    </w:tbl>
    <w:p w14:paraId="70AF4766" w14:textId="77777777" w:rsidR="00056AEE" w:rsidRDefault="00056AEE">
      <w:pPr>
        <w:spacing w:after="0" w:line="150" w:lineRule="auto"/>
      </w:pPr>
    </w:p>
    <w:sectPr w:rsidR="00056AEE">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8702" w14:textId="77777777" w:rsidR="00F95873" w:rsidRDefault="00F95873" w:rsidP="0082499D">
      <w:pPr>
        <w:spacing w:after="0" w:line="240" w:lineRule="auto"/>
      </w:pPr>
      <w:r>
        <w:separator/>
      </w:r>
    </w:p>
  </w:endnote>
  <w:endnote w:type="continuationSeparator" w:id="0">
    <w:p w14:paraId="0C487118" w14:textId="77777777" w:rsidR="00F95873" w:rsidRDefault="00F95873"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281B" w14:textId="77777777" w:rsidR="0005773C" w:rsidRPr="005E24C6" w:rsidRDefault="00DF5E1F" w:rsidP="00D7779A">
    <w:pPr>
      <w:pStyle w:val="FooterStyle"/>
      <w:rPr>
        <w:szCs w:val="20"/>
      </w:rPr>
    </w:pPr>
    <w:r>
      <w:t xml:space="preserve">Part 4 -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E0E4B">
      <w:rPr>
        <w:noProof/>
        <w:szCs w:val="20"/>
      </w:rPr>
      <w:t>2</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471D8" w14:textId="77777777" w:rsidR="00F95873" w:rsidRDefault="00F95873" w:rsidP="0082499D">
      <w:pPr>
        <w:spacing w:after="0" w:line="240" w:lineRule="auto"/>
      </w:pPr>
      <w:r>
        <w:separator/>
      </w:r>
    </w:p>
  </w:footnote>
  <w:footnote w:type="continuationSeparator" w:id="0">
    <w:p w14:paraId="696D0E98" w14:textId="77777777" w:rsidR="00F95873" w:rsidRDefault="00F95873" w:rsidP="0082499D">
      <w:pPr>
        <w:spacing w:after="0" w:line="240" w:lineRule="auto"/>
      </w:pPr>
      <w:r>
        <w:continuationSeparator/>
      </w:r>
    </w:p>
  </w:footnote>
  <w:footnote w:id="1">
    <w:p w14:paraId="402EB107" w14:textId="77777777" w:rsidR="00056AEE" w:rsidRDefault="00A00CB7">
      <w:pPr>
        <w:pStyle w:val="footnote1"/>
      </w:pPr>
      <w:r>
        <w:rPr>
          <w:vertAlign w:val="superscript"/>
        </w:rPr>
        <w:footnoteRef/>
      </w:r>
      <w:r>
        <w:rPr>
          <w:vertAlign w:val="superscript"/>
        </w:rPr>
        <w:tab/>
      </w:r>
      <w:r>
        <w:rPr>
          <w:color w:val="000000"/>
        </w:rPr>
        <w:t>COM(2021) 252 final</w:t>
      </w:r>
    </w:p>
  </w:footnote>
  <w:footnote w:id="2">
    <w:p w14:paraId="5A4A1FE6" w14:textId="77777777" w:rsidR="00056AEE" w:rsidRDefault="00A00CB7">
      <w:pPr>
        <w:pStyle w:val="footnote1"/>
      </w:pPr>
      <w:r>
        <w:rPr>
          <w:vertAlign w:val="superscript"/>
        </w:rPr>
        <w:footnoteRef/>
      </w:r>
      <w:r>
        <w:rPr>
          <w:vertAlign w:val="superscript"/>
        </w:rPr>
        <w:tab/>
      </w:r>
      <w:r>
        <w:rPr>
          <w:color w:val="000000"/>
        </w:rPr>
        <w:t>JOIN(2021) 30 final</w:t>
      </w:r>
    </w:p>
  </w:footnote>
  <w:footnote w:id="3">
    <w:p w14:paraId="68B6A9E5" w14:textId="77777777" w:rsidR="00056AEE" w:rsidRDefault="00A00CB7">
      <w:pPr>
        <w:pStyle w:val="footnote1"/>
      </w:pPr>
      <w:r>
        <w:rPr>
          <w:vertAlign w:val="superscript"/>
        </w:rPr>
        <w:footnoteRef/>
      </w:r>
      <w:r>
        <w:rPr>
          <w:vertAlign w:val="superscript"/>
        </w:rPr>
        <w:tab/>
      </w:r>
      <w:r>
        <w:rPr>
          <w:color w:val="000000"/>
        </w:rPr>
        <w:t>E.g., the EU4Health programme, the Digital Europe Programme, European Regional Development Fund (ERDF), European Social Fund (ESF+), Structural Reform Support Programme (SRSP), the Just Transition Fund (JTF), the European Maritime and Fisheries Fund (EMFF), the European Agricultural Fund for Rural Development (EAFRD), the European Defence Fund (EDF) or InvestEU.</w:t>
      </w:r>
    </w:p>
  </w:footnote>
  <w:footnote w:id="4">
    <w:p w14:paraId="42A0B33F" w14:textId="77777777" w:rsidR="00056AEE" w:rsidRDefault="00A00CB7">
      <w:pPr>
        <w:pStyle w:val="footnote1"/>
      </w:pPr>
      <w:r>
        <w:rPr>
          <w:vertAlign w:val="superscript"/>
        </w:rPr>
        <w:footnoteRef/>
      </w:r>
      <w:r>
        <w:rPr>
          <w:vertAlign w:val="superscript"/>
        </w:rPr>
        <w:tab/>
      </w:r>
      <w:r>
        <w:rPr>
          <w:color w:val="000000"/>
        </w:rPr>
        <w:t xml:space="preserve">Synergies between Horizon Europe and ERDF programmes (Draft Commission Notice): </w:t>
      </w:r>
      <w:hyperlink r:id="rId1">
        <w:r>
          <w:rPr>
            <w:color w:val="0000FF"/>
            <w:szCs w:val="20"/>
            <w:u w:val="single"/>
          </w:rPr>
          <w:t>https://research-and-innovation.ec.europa.eu/news/all-research-and-innovation-news/synergies-guidance-out-2022-07-06_en</w:t>
        </w:r>
      </w:hyperlink>
    </w:p>
  </w:footnote>
  <w:footnote w:id="5">
    <w:p w14:paraId="2A0957CC" w14:textId="77777777" w:rsidR="00056AEE" w:rsidRDefault="00A00CB7">
      <w:pPr>
        <w:pStyle w:val="footnote1"/>
      </w:pPr>
      <w:r>
        <w:rPr>
          <w:vertAlign w:val="superscript"/>
        </w:rPr>
        <w:footnoteRef/>
      </w:r>
      <w:r>
        <w:rPr>
          <w:vertAlign w:val="superscript"/>
        </w:rPr>
        <w:tab/>
      </w:r>
      <w:hyperlink r:id="rId2">
        <w:r>
          <w:rPr>
            <w:color w:val="0000FF"/>
            <w:szCs w:val="20"/>
            <w:u w:val="single"/>
          </w:rPr>
          <w:t>https://health.ec.europa.eu/system/files/2022-02/eu_cancer-plan_en_0.pdf</w:t>
        </w:r>
      </w:hyperlink>
    </w:p>
  </w:footnote>
  <w:footnote w:id="6">
    <w:p w14:paraId="4379F3C4" w14:textId="77777777" w:rsidR="00056AEE" w:rsidRDefault="00A00CB7">
      <w:pPr>
        <w:pStyle w:val="footnote1"/>
      </w:pPr>
      <w:r>
        <w:rPr>
          <w:vertAlign w:val="superscript"/>
        </w:rPr>
        <w:footnoteRef/>
      </w:r>
      <w:r>
        <w:rPr>
          <w:vertAlign w:val="superscript"/>
        </w:rPr>
        <w:tab/>
      </w:r>
      <w:r>
        <w:rPr>
          <w:color w:val="000000"/>
        </w:rPr>
        <w:t xml:space="preserve">The European Cancer Information System (ECIS - </w:t>
      </w:r>
      <w:hyperlink r:id="rId3">
        <w:r>
          <w:rPr>
            <w:color w:val="0000FF"/>
            <w:szCs w:val="20"/>
            <w:u w:val="single"/>
          </w:rPr>
          <w:t>https://ecis.jrc.ec.europa.eu</w:t>
        </w:r>
      </w:hyperlink>
      <w:r>
        <w:rPr>
          <w:color w:val="000000"/>
        </w:rPr>
        <w:t xml:space="preserve">) and the European Network of Cancer Registries (ENCR - </w:t>
      </w:r>
      <w:hyperlink r:id="rId4">
        <w:r>
          <w:rPr>
            <w:color w:val="0000FF"/>
            <w:szCs w:val="20"/>
            <w:u w:val="single"/>
          </w:rPr>
          <w:t>https://www.encr.eu</w:t>
        </w:r>
      </w:hyperlink>
      <w:r>
        <w:rPr>
          <w:color w:val="000000"/>
        </w:rPr>
        <w:t>)</w:t>
      </w:r>
    </w:p>
  </w:footnote>
  <w:footnote w:id="7">
    <w:p w14:paraId="38898B0F" w14:textId="77777777" w:rsidR="00056AEE" w:rsidRDefault="00A00CB7">
      <w:pPr>
        <w:pStyle w:val="footnote1"/>
      </w:pPr>
      <w:r>
        <w:rPr>
          <w:vertAlign w:val="superscript"/>
        </w:rPr>
        <w:footnoteRef/>
      </w:r>
      <w:r>
        <w:rPr>
          <w:vertAlign w:val="superscript"/>
        </w:rPr>
        <w:tab/>
      </w:r>
      <w:r>
        <w:rPr>
          <w:color w:val="000000"/>
        </w:rPr>
        <w:t xml:space="preserve">European Commission Initiatives on Breast and Colorectal Cancer: </w:t>
      </w:r>
      <w:hyperlink r:id="rId5">
        <w:r>
          <w:rPr>
            <w:color w:val="0000FF"/>
            <w:szCs w:val="20"/>
            <w:u w:val="single"/>
          </w:rPr>
          <w:t>https://healthcare-quality.jrc.ec.europa.eu</w:t>
        </w:r>
      </w:hyperlink>
    </w:p>
  </w:footnote>
  <w:footnote w:id="8">
    <w:p w14:paraId="0FA884A9" w14:textId="77777777" w:rsidR="00056AEE" w:rsidRDefault="00A00CB7">
      <w:pPr>
        <w:pStyle w:val="footnote1"/>
      </w:pPr>
      <w:r>
        <w:rPr>
          <w:vertAlign w:val="superscript"/>
        </w:rPr>
        <w:footnoteRef/>
      </w:r>
      <w:r>
        <w:rPr>
          <w:vertAlign w:val="superscript"/>
        </w:rPr>
        <w:tab/>
      </w:r>
      <w:r>
        <w:rPr>
          <w:color w:val="000000"/>
        </w:rPr>
        <w:t xml:space="preserve">European Cancer Inequalities Registry: </w:t>
      </w:r>
      <w:hyperlink r:id="rId6">
        <w:r>
          <w:rPr>
            <w:color w:val="0000FF"/>
            <w:szCs w:val="20"/>
            <w:u w:val="single"/>
          </w:rPr>
          <w:t>https://cancer-inequalities.jrc.ec.europa.eu</w:t>
        </w:r>
      </w:hyperlink>
    </w:p>
  </w:footnote>
  <w:footnote w:id="9">
    <w:p w14:paraId="4EF60270" w14:textId="77777777" w:rsidR="00056AEE" w:rsidRDefault="00A00CB7">
      <w:pPr>
        <w:pStyle w:val="footnote1"/>
      </w:pPr>
      <w:r>
        <w:rPr>
          <w:vertAlign w:val="superscript"/>
        </w:rPr>
        <w:footnoteRef/>
      </w:r>
      <w:r>
        <w:rPr>
          <w:vertAlign w:val="superscript"/>
        </w:rPr>
        <w:tab/>
      </w:r>
      <w:r>
        <w:rPr>
          <w:color w:val="000000"/>
        </w:rPr>
        <w:t xml:space="preserve">European Platform on Rare Disease Registration (EU RD Platform - </w:t>
      </w:r>
      <w:hyperlink r:id="rId7">
        <w:r>
          <w:rPr>
            <w:color w:val="0000FF"/>
            <w:szCs w:val="20"/>
            <w:u w:val="single"/>
          </w:rPr>
          <w:t>https://eu-rd-platform.jrc.ec.europa.eu/_en</w:t>
        </w:r>
      </w:hyperlink>
      <w:r>
        <w:rPr>
          <w:color w:val="000000"/>
        </w:rPr>
        <w:t>) - for rare cancers</w:t>
      </w:r>
    </w:p>
  </w:footnote>
  <w:footnote w:id="10">
    <w:p w14:paraId="4EC8619F" w14:textId="77777777" w:rsidR="00056AEE" w:rsidRDefault="00A00CB7">
      <w:pPr>
        <w:pStyle w:val="footnote1"/>
      </w:pPr>
      <w:r>
        <w:rPr>
          <w:vertAlign w:val="superscript"/>
        </w:rPr>
        <w:footnoteRef/>
      </w:r>
      <w:r>
        <w:rPr>
          <w:vertAlign w:val="superscript"/>
        </w:rPr>
        <w:tab/>
      </w:r>
      <w:r>
        <w:rPr>
          <w:color w:val="000000"/>
        </w:rPr>
        <w:t xml:space="preserve">Health Promotion and Disease Prevention Knowledge Gateway Horizon Europe: </w:t>
      </w:r>
      <w:hyperlink r:id="rId8">
        <w:r>
          <w:rPr>
            <w:color w:val="0000FF"/>
            <w:szCs w:val="20"/>
            <w:u w:val="single"/>
          </w:rPr>
          <w:t>https://knowledge4policy.ec.europa.eu/health-promotion-knowledge-gateway_en</w:t>
        </w:r>
      </w:hyperlink>
    </w:p>
  </w:footnote>
  <w:footnote w:id="11">
    <w:p w14:paraId="7855EFEB" w14:textId="77777777" w:rsidR="00056AEE" w:rsidRDefault="00A00CB7">
      <w:pPr>
        <w:pStyle w:val="footnote1"/>
      </w:pPr>
      <w:r>
        <w:rPr>
          <w:vertAlign w:val="superscript"/>
        </w:rPr>
        <w:footnoteRef/>
      </w:r>
      <w:r>
        <w:rPr>
          <w:vertAlign w:val="superscript"/>
        </w:rPr>
        <w:tab/>
      </w:r>
      <w:hyperlink r:id="rId9">
        <w:r>
          <w:rPr>
            <w:color w:val="0000FF"/>
            <w:szCs w:val="20"/>
            <w:u w:val="single"/>
          </w:rPr>
          <w:t>https://www.go-fair.org/fair-principles</w:t>
        </w:r>
      </w:hyperlink>
    </w:p>
  </w:footnote>
  <w:footnote w:id="12">
    <w:p w14:paraId="13E1FE70" w14:textId="77777777" w:rsidR="00056AEE" w:rsidRDefault="00A00CB7">
      <w:pPr>
        <w:pStyle w:val="footnote1"/>
      </w:pPr>
      <w:r>
        <w:rPr>
          <w:vertAlign w:val="superscript"/>
        </w:rPr>
        <w:footnoteRef/>
      </w:r>
      <w:r>
        <w:rPr>
          <w:vertAlign w:val="superscript"/>
        </w:rPr>
        <w:tab/>
      </w:r>
      <w:hyperlink r:id="rId10">
        <w:r>
          <w:rPr>
            <w:color w:val="0000FF"/>
            <w:szCs w:val="20"/>
            <w:u w:val="single"/>
          </w:rPr>
          <w:t>https://faircookbook.elixir-europe.org/content/home.html</w:t>
        </w:r>
      </w:hyperlink>
    </w:p>
  </w:footnote>
  <w:footnote w:id="13">
    <w:p w14:paraId="5FEAD019" w14:textId="77777777" w:rsidR="00056AEE" w:rsidRDefault="00A00CB7">
      <w:pPr>
        <w:pStyle w:val="footnote1"/>
      </w:pPr>
      <w:r>
        <w:rPr>
          <w:vertAlign w:val="superscript"/>
        </w:rPr>
        <w:footnoteRef/>
      </w:r>
      <w:r>
        <w:rPr>
          <w:vertAlign w:val="superscript"/>
        </w:rPr>
        <w:tab/>
      </w:r>
      <w:hyperlink r:id="rId11">
        <w:r>
          <w:rPr>
            <w:color w:val="0000FF"/>
            <w:szCs w:val="20"/>
            <w:u w:val="single"/>
          </w:rPr>
          <w:t>https://www.openaire.eu/how-to-make-your-data-fair</w:t>
        </w:r>
      </w:hyperlink>
    </w:p>
  </w:footnote>
  <w:footnote w:id="14">
    <w:p w14:paraId="4E3E3EE0" w14:textId="77777777" w:rsidR="00056AEE" w:rsidRDefault="00A00CB7">
      <w:pPr>
        <w:pStyle w:val="footnote1"/>
      </w:pPr>
      <w:r>
        <w:rPr>
          <w:vertAlign w:val="superscript"/>
        </w:rPr>
        <w:footnoteRef/>
      </w:r>
      <w:r>
        <w:rPr>
          <w:vertAlign w:val="superscript"/>
        </w:rPr>
        <w:tab/>
      </w:r>
      <w:hyperlink r:id="rId12">
        <w:r>
          <w:rPr>
            <w:color w:val="0000FF"/>
            <w:szCs w:val="20"/>
            <w:u w:val="single"/>
          </w:rPr>
          <w:t>https://ri-portfolio.esfri.eu</w:t>
        </w:r>
      </w:hyperlink>
    </w:p>
  </w:footnote>
  <w:footnote w:id="15">
    <w:p w14:paraId="44FEF184" w14:textId="77777777" w:rsidR="00056AEE" w:rsidRDefault="00A00CB7">
      <w:pPr>
        <w:pStyle w:val="footnote1"/>
      </w:pPr>
      <w:r>
        <w:rPr>
          <w:vertAlign w:val="superscript"/>
        </w:rPr>
        <w:footnoteRef/>
      </w:r>
      <w:r>
        <w:rPr>
          <w:vertAlign w:val="superscript"/>
        </w:rPr>
        <w:tab/>
      </w:r>
      <w:hyperlink r:id="rId13">
        <w:r>
          <w:rPr>
            <w:color w:val="0000FF"/>
            <w:szCs w:val="20"/>
            <w:u w:val="single"/>
          </w:rPr>
          <w:t>https://www.eric-forum.eu/the-eric-landscape</w:t>
        </w:r>
      </w:hyperlink>
    </w:p>
  </w:footnote>
  <w:footnote w:id="16">
    <w:p w14:paraId="03841C24" w14:textId="77777777" w:rsidR="00056AEE" w:rsidRDefault="00A00CB7">
      <w:pPr>
        <w:pStyle w:val="footnote1"/>
      </w:pPr>
      <w:r>
        <w:rPr>
          <w:vertAlign w:val="superscript"/>
        </w:rPr>
        <w:footnoteRef/>
      </w:r>
      <w:r>
        <w:rPr>
          <w:vertAlign w:val="superscript"/>
        </w:rPr>
        <w:tab/>
      </w:r>
      <w:hyperlink r:id="rId14">
        <w:r>
          <w:rPr>
            <w:color w:val="0000FF"/>
            <w:szCs w:val="20"/>
            <w:u w:val="single"/>
          </w:rPr>
          <w:t>https://research-and-innovation.ec.europa.eu/strategy/strategy-2020-2024/our-digital-future/open-science/european-open-science-cloud-eosc_en</w:t>
        </w:r>
      </w:hyperlink>
    </w:p>
  </w:footnote>
  <w:footnote w:id="17">
    <w:p w14:paraId="7E38339E" w14:textId="77777777" w:rsidR="00056AEE" w:rsidRDefault="00A00CB7">
      <w:pPr>
        <w:pStyle w:val="footnote1"/>
      </w:pPr>
      <w:r>
        <w:rPr>
          <w:vertAlign w:val="superscript"/>
        </w:rPr>
        <w:footnoteRef/>
      </w:r>
      <w:r>
        <w:rPr>
          <w:vertAlign w:val="superscript"/>
        </w:rPr>
        <w:tab/>
      </w:r>
      <w:r>
        <w:rPr>
          <w:color w:val="000000"/>
        </w:rPr>
        <w:t xml:space="preserve">European space technology based earth observation, positioning, navigation and timing services provided by: Copernicus, the European Union's Earth observation programme </w:t>
      </w:r>
      <w:hyperlink r:id="rId15">
        <w:r>
          <w:rPr>
            <w:color w:val="0000FF"/>
            <w:szCs w:val="20"/>
            <w:u w:val="single"/>
          </w:rPr>
          <w:t>https://www.copernicus.eu/en/copernicus-services</w:t>
        </w:r>
      </w:hyperlink>
      <w:r>
        <w:rPr>
          <w:color w:val="000000"/>
        </w:rPr>
        <w:t xml:space="preserve">; Galileo, the European Global Satellite Navigation System (GNSS) </w:t>
      </w:r>
      <w:hyperlink r:id="rId16">
        <w:r>
          <w:rPr>
            <w:color w:val="0000FF"/>
            <w:szCs w:val="20"/>
            <w:u w:val="single"/>
          </w:rPr>
          <w:t>https://www.gsc-europa.eu/galileo/services/galileo-initial-services</w:t>
        </w:r>
      </w:hyperlink>
      <w:r>
        <w:rPr>
          <w:color w:val="000000"/>
        </w:rPr>
        <w:t xml:space="preserve">; and the European Geostationary Navigation Overlay Service (EGNOS) </w:t>
      </w:r>
      <w:hyperlink r:id="rId17">
        <w:r>
          <w:rPr>
            <w:color w:val="0000FF"/>
            <w:szCs w:val="20"/>
            <w:u w:val="single"/>
          </w:rPr>
          <w:t>https://www.euspa.europa.eu/eu-space-programme/egnos</w:t>
        </w:r>
      </w:hyperlink>
    </w:p>
  </w:footnote>
  <w:footnote w:id="18">
    <w:p w14:paraId="4D212A7C" w14:textId="77777777" w:rsidR="00056AEE" w:rsidRDefault="00A00CB7">
      <w:pPr>
        <w:pStyle w:val="footnote1"/>
      </w:pPr>
      <w:r>
        <w:rPr>
          <w:vertAlign w:val="superscript"/>
        </w:rPr>
        <w:footnoteRef/>
      </w:r>
      <w:r>
        <w:rPr>
          <w:vertAlign w:val="superscript"/>
        </w:rPr>
        <w:tab/>
      </w:r>
      <w:hyperlink r:id="rId18">
        <w:r>
          <w:rPr>
            <w:color w:val="0000FF"/>
            <w:szCs w:val="20"/>
            <w:u w:val="single"/>
          </w:rPr>
          <w:t>https://eur-lex.europa.eu/legal-content/EN/TXT/?uri=celex%3A32014R0536</w:t>
        </w:r>
      </w:hyperlink>
    </w:p>
  </w:footnote>
  <w:footnote w:id="19">
    <w:p w14:paraId="0C67BB14" w14:textId="77777777" w:rsidR="00056AEE" w:rsidRDefault="00A00CB7">
      <w:pPr>
        <w:pStyle w:val="footnote1"/>
      </w:pPr>
      <w:r>
        <w:rPr>
          <w:vertAlign w:val="superscript"/>
        </w:rPr>
        <w:footnoteRef/>
      </w:r>
      <w:r>
        <w:rPr>
          <w:vertAlign w:val="superscript"/>
        </w:rPr>
        <w:tab/>
      </w:r>
      <w:hyperlink r:id="rId19">
        <w:r>
          <w:rPr>
            <w:color w:val="0000FF"/>
            <w:szCs w:val="20"/>
            <w:u w:val="single"/>
          </w:rPr>
          <w:t>https://euclinicaltrials.eu</w:t>
        </w:r>
      </w:hyperlink>
    </w:p>
  </w:footnote>
  <w:footnote w:id="20">
    <w:p w14:paraId="0280B48D" w14:textId="77777777" w:rsidR="00056AEE" w:rsidRDefault="00A00CB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E9B473D" w14:textId="77777777" w:rsidR="00056AEE" w:rsidRDefault="00A00CB7">
      <w:pPr>
        <w:pStyle w:val="footnote2"/>
      </w:pPr>
      <w:r>
        <w:rPr>
          <w:color w:val="000000"/>
        </w:rPr>
        <w:t>The Director-General responsible may delay the deadline(s) by up to two months.</w:t>
      </w:r>
    </w:p>
    <w:p w14:paraId="4608A39D" w14:textId="77777777" w:rsidR="00056AEE" w:rsidRDefault="00A00CB7">
      <w:pPr>
        <w:pStyle w:val="footnote2"/>
      </w:pPr>
      <w:r>
        <w:rPr>
          <w:color w:val="000000"/>
        </w:rPr>
        <w:t>All deadlines are at 17.00.00 Brussels local time.</w:t>
      </w:r>
    </w:p>
    <w:p w14:paraId="54798E35" w14:textId="77777777" w:rsidR="00056AEE" w:rsidRDefault="00A00CB7">
      <w:pPr>
        <w:pStyle w:val="footnote2"/>
      </w:pPr>
      <w:r>
        <w:rPr>
          <w:color w:val="000000"/>
        </w:rPr>
        <w:t>The budget amounts are subject to the availability of the appropriations provided for in the general budget of the Union for 2025.</w:t>
      </w:r>
    </w:p>
  </w:footnote>
  <w:footnote w:id="21">
    <w:p w14:paraId="56516EBB" w14:textId="77777777" w:rsidR="00056AEE" w:rsidRDefault="00A00CB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2">
    <w:p w14:paraId="0D11CFDB" w14:textId="77777777" w:rsidR="00056AEE" w:rsidRDefault="00A00CB7">
      <w:pPr>
        <w:pStyle w:val="footnote1"/>
      </w:pPr>
      <w:r>
        <w:rPr>
          <w:vertAlign w:val="superscript"/>
        </w:rPr>
        <w:footnoteRef/>
      </w:r>
      <w:r>
        <w:rPr>
          <w:vertAlign w:val="superscript"/>
        </w:rPr>
        <w:tab/>
      </w:r>
    </w:p>
  </w:footnote>
  <w:footnote w:id="23">
    <w:p w14:paraId="7F5FC8D1" w14:textId="77777777" w:rsidR="00056AEE" w:rsidRDefault="00A00CB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4">
    <w:p w14:paraId="18A7E5FA" w14:textId="77777777" w:rsidR="00056AEE" w:rsidRDefault="00A00CB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C2E5898" w14:textId="77777777" w:rsidR="00056AEE" w:rsidRDefault="00A00CB7">
      <w:pPr>
        <w:pStyle w:val="footnote2"/>
      </w:pPr>
      <w:r>
        <w:rPr>
          <w:color w:val="000000"/>
        </w:rPr>
        <w:t>The Director-General responsible may delay the deadline(s) by up to two months.</w:t>
      </w:r>
    </w:p>
    <w:p w14:paraId="1909C8F1" w14:textId="77777777" w:rsidR="00056AEE" w:rsidRDefault="00A00CB7">
      <w:pPr>
        <w:pStyle w:val="footnote2"/>
      </w:pPr>
      <w:r>
        <w:rPr>
          <w:color w:val="000000"/>
        </w:rPr>
        <w:t>All deadlines are at 17.00.00 Brussels local time.</w:t>
      </w:r>
    </w:p>
    <w:p w14:paraId="276E73A2" w14:textId="77777777" w:rsidR="00056AEE" w:rsidRDefault="00A00CB7">
      <w:pPr>
        <w:pStyle w:val="footnote2"/>
      </w:pPr>
      <w:r>
        <w:rPr>
          <w:color w:val="000000"/>
        </w:rPr>
        <w:t>The budget amounts are subject to the availability of the appropriations provided for in the general budget of the Union for 2025.</w:t>
      </w:r>
    </w:p>
  </w:footnote>
  <w:footnote w:id="25">
    <w:p w14:paraId="5356DC87" w14:textId="77777777" w:rsidR="00056AEE" w:rsidRDefault="00A00CB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6">
    <w:p w14:paraId="4656F63E" w14:textId="77777777" w:rsidR="00056AEE" w:rsidRDefault="00A00CB7">
      <w:pPr>
        <w:pStyle w:val="footnote1"/>
      </w:pPr>
      <w:r>
        <w:rPr>
          <w:vertAlign w:val="superscript"/>
        </w:rPr>
        <w:footnoteRef/>
      </w:r>
      <w:r>
        <w:rPr>
          <w:vertAlign w:val="superscript"/>
        </w:rPr>
        <w:tab/>
      </w:r>
      <w:hyperlink r:id="rId20">
        <w:r>
          <w:rPr>
            <w:color w:val="0000FF"/>
            <w:szCs w:val="20"/>
            <w:u w:val="single"/>
          </w:rPr>
          <w:t>https://health.ec.europa.eu/ehealth-digital-health-and-care/european-health-data-space_en</w:t>
        </w:r>
      </w:hyperlink>
    </w:p>
  </w:footnote>
  <w:footnote w:id="27">
    <w:p w14:paraId="11318224" w14:textId="77777777" w:rsidR="00056AEE" w:rsidRDefault="00A00CB7">
      <w:pPr>
        <w:pStyle w:val="footnote1"/>
      </w:pPr>
      <w:r>
        <w:rPr>
          <w:vertAlign w:val="superscript"/>
        </w:rPr>
        <w:footnoteRef/>
      </w:r>
      <w:r>
        <w:rPr>
          <w:vertAlign w:val="superscript"/>
        </w:rPr>
        <w:tab/>
      </w:r>
      <w:hyperlink r:id="rId21">
        <w:r>
          <w:rPr>
            <w:color w:val="0000FF"/>
            <w:szCs w:val="20"/>
            <w:u w:val="single"/>
          </w:rPr>
          <w:t>https://research-and-innovation.ec.europa.eu/strategy/strategy-2020-2024/our-digital-future/open-science/european-open-science-cloud-eosc_en</w:t>
        </w:r>
      </w:hyperlink>
    </w:p>
  </w:footnote>
  <w:footnote w:id="28">
    <w:p w14:paraId="335A5BD9" w14:textId="77777777" w:rsidR="00056AEE" w:rsidRDefault="00A00CB7">
      <w:pPr>
        <w:pStyle w:val="footnote1"/>
      </w:pPr>
      <w:r>
        <w:rPr>
          <w:vertAlign w:val="superscript"/>
        </w:rPr>
        <w:footnoteRef/>
      </w:r>
      <w:r>
        <w:rPr>
          <w:vertAlign w:val="superscript"/>
        </w:rPr>
        <w:tab/>
      </w:r>
      <w:r>
        <w:rPr>
          <w:color w:val="000000"/>
        </w:rPr>
        <w:t>Communication from the European Commission on the European care strategy, COM(2022) 440, 7.9.2022</w:t>
      </w:r>
    </w:p>
  </w:footnote>
  <w:footnote w:id="29">
    <w:p w14:paraId="2C825339" w14:textId="77777777" w:rsidR="00056AEE" w:rsidRDefault="00A00CB7">
      <w:pPr>
        <w:pStyle w:val="footnote1"/>
      </w:pPr>
      <w:r>
        <w:rPr>
          <w:vertAlign w:val="superscript"/>
        </w:rPr>
        <w:footnoteRef/>
      </w:r>
      <w:r>
        <w:rPr>
          <w:vertAlign w:val="superscript"/>
        </w:rPr>
        <w:tab/>
      </w:r>
      <w:r>
        <w:rPr>
          <w:color w:val="000000"/>
        </w:rPr>
        <w:t>Communication from the European Commission on enabling the digital transformation of health and care in the Digital Single Market; empowering citizens and building a healthier society, COM(2018) 233, 25.4.2018</w:t>
      </w:r>
    </w:p>
  </w:footnote>
  <w:footnote w:id="30">
    <w:p w14:paraId="1EBF7ED0" w14:textId="77777777" w:rsidR="00056AEE" w:rsidRDefault="00A00CB7">
      <w:pPr>
        <w:pStyle w:val="footnote1"/>
      </w:pPr>
      <w:r>
        <w:rPr>
          <w:vertAlign w:val="superscript"/>
        </w:rPr>
        <w:footnoteRef/>
      </w:r>
      <w:r>
        <w:rPr>
          <w:vertAlign w:val="superscript"/>
        </w:rPr>
        <w:tab/>
      </w:r>
      <w:r>
        <w:rPr>
          <w:color w:val="000000"/>
        </w:rPr>
        <w:t xml:space="preserve">Disorders of intellectual development are a group of etiologically diverse conditions originating during the developmental period characterised by significantly below average intellectual functioning and adaptive behaviour that are approximately two or more standard deviations below the mean (approximately less than the 2.3rd percentile), based on appropriately normed, individually administered standardised tests. Where appropriately normed and standardised tests are not available, diagnosis of disorders of intellectual development requires greater reliance on clinical judgment based on appropriate assessment of comparable behavioural indicators. See also </w:t>
      </w:r>
      <w:hyperlink r:id="rId22" w:anchor="605267007">
        <w:r>
          <w:rPr>
            <w:color w:val="0000FF"/>
            <w:szCs w:val="20"/>
            <w:u w:val="single"/>
          </w:rPr>
          <w:t>https://icd.who.int/browse/2024-01/mms/en#605267007</w:t>
        </w:r>
      </w:hyperlink>
    </w:p>
  </w:footnote>
  <w:footnote w:id="31">
    <w:p w14:paraId="3370A185" w14:textId="77777777" w:rsidR="00056AEE" w:rsidRDefault="00A00CB7">
      <w:pPr>
        <w:pStyle w:val="footnote1"/>
      </w:pPr>
      <w:r>
        <w:rPr>
          <w:vertAlign w:val="superscript"/>
        </w:rPr>
        <w:footnoteRef/>
      </w:r>
      <w:r>
        <w:rPr>
          <w:vertAlign w:val="superscript"/>
        </w:rPr>
        <w:tab/>
      </w:r>
      <w:hyperlink r:id="rId23" w:anchor="223744320">
        <w:r>
          <w:rPr>
            <w:color w:val="0000FF"/>
            <w:szCs w:val="20"/>
            <w:u w:val="single"/>
          </w:rPr>
          <w:t>https://icd.who.int/browse/2024-01/mms/en#223744320</w:t>
        </w:r>
      </w:hyperlink>
    </w:p>
  </w:footnote>
  <w:footnote w:id="32">
    <w:p w14:paraId="02F12863" w14:textId="77777777" w:rsidR="00056AEE" w:rsidRDefault="00A00CB7">
      <w:pPr>
        <w:pStyle w:val="footnote1"/>
      </w:pPr>
      <w:r>
        <w:rPr>
          <w:vertAlign w:val="superscript"/>
        </w:rPr>
        <w:footnoteRef/>
      </w:r>
      <w:r>
        <w:rPr>
          <w:vertAlign w:val="superscript"/>
        </w:rPr>
        <w:tab/>
      </w:r>
      <w:hyperlink r:id="rId24" w:anchor="948835301">
        <w:r>
          <w:rPr>
            <w:color w:val="0000FF"/>
            <w:szCs w:val="20"/>
            <w:u w:val="single"/>
          </w:rPr>
          <w:t>https://icd.who.int/browse/2024-01/mms/en#948835301</w:t>
        </w:r>
      </w:hyperlink>
    </w:p>
  </w:footnote>
  <w:footnote w:id="33">
    <w:p w14:paraId="78A712DC" w14:textId="77777777" w:rsidR="00056AEE" w:rsidRDefault="00A00CB7">
      <w:pPr>
        <w:pStyle w:val="footnote1"/>
      </w:pPr>
      <w:r>
        <w:rPr>
          <w:vertAlign w:val="superscript"/>
        </w:rPr>
        <w:footnoteRef/>
      </w:r>
      <w:r>
        <w:rPr>
          <w:vertAlign w:val="superscript"/>
        </w:rPr>
        <w:tab/>
      </w:r>
      <w:hyperlink r:id="rId25" w:anchor="775270311">
        <w:r>
          <w:rPr>
            <w:color w:val="0000FF"/>
            <w:szCs w:val="20"/>
            <w:u w:val="single"/>
          </w:rPr>
          <w:t>https://icd.who.int/browse/2024-01/mms/en#775270311</w:t>
        </w:r>
      </w:hyperlink>
    </w:p>
  </w:footnote>
  <w:footnote w:id="34">
    <w:p w14:paraId="3C8B8B45" w14:textId="77777777" w:rsidR="00056AEE" w:rsidRDefault="00A00CB7">
      <w:pPr>
        <w:pStyle w:val="footnote1"/>
      </w:pPr>
      <w:r>
        <w:rPr>
          <w:vertAlign w:val="superscript"/>
        </w:rPr>
        <w:footnoteRef/>
      </w:r>
      <w:r>
        <w:rPr>
          <w:vertAlign w:val="superscript"/>
        </w:rPr>
        <w:tab/>
      </w:r>
      <w:hyperlink r:id="rId26" w:anchor="437815624">
        <w:r>
          <w:rPr>
            <w:color w:val="0000FF"/>
            <w:szCs w:val="20"/>
            <w:u w:val="single"/>
          </w:rPr>
          <w:t>https://icd.who.int/browse/2024-01/mms/en#437815624</w:t>
        </w:r>
      </w:hyperlink>
    </w:p>
  </w:footnote>
  <w:footnote w:id="35">
    <w:p w14:paraId="506A9E85" w14:textId="77777777" w:rsidR="00056AEE" w:rsidRDefault="00A00CB7">
      <w:pPr>
        <w:pStyle w:val="footnote1"/>
      </w:pPr>
      <w:r>
        <w:rPr>
          <w:vertAlign w:val="superscript"/>
        </w:rPr>
        <w:footnoteRef/>
      </w:r>
      <w:r>
        <w:rPr>
          <w:vertAlign w:val="superscript"/>
        </w:rPr>
        <w:tab/>
      </w:r>
      <w:r>
        <w:rPr>
          <w:color w:val="000000"/>
        </w:rPr>
        <w:t xml:space="preserve">Persons with disabilities include those who have long-term physical, mental, intellectual or sensory impairments which in interaction with various barriers may hinder their full and effective participation in society on an equal basis with others (Art. 1 of the Convention on the Rights of Persons with Disabilities - </w:t>
      </w:r>
      <w:hyperlink r:id="rId27">
        <w:r>
          <w:rPr>
            <w:color w:val="0000FF"/>
            <w:szCs w:val="20"/>
            <w:u w:val="single"/>
          </w:rPr>
          <w:t>https://www.ohchr.org/en/instruments-mechanisms/instruments/convention-rights-persons-disabilities</w:t>
        </w:r>
      </w:hyperlink>
      <w:r>
        <w:rPr>
          <w:color w:val="000000"/>
        </w:rPr>
        <w:t>).</w:t>
      </w:r>
    </w:p>
  </w:footnote>
  <w:footnote w:id="36">
    <w:p w14:paraId="255046F5" w14:textId="77777777" w:rsidR="00056AEE" w:rsidRDefault="00A00CB7">
      <w:pPr>
        <w:pStyle w:val="footnote1"/>
      </w:pPr>
      <w:r>
        <w:rPr>
          <w:vertAlign w:val="superscript"/>
        </w:rPr>
        <w:footnoteRef/>
      </w:r>
      <w:r>
        <w:rPr>
          <w:vertAlign w:val="superscript"/>
        </w:rPr>
        <w:tab/>
      </w:r>
      <w:hyperlink r:id="rId28">
        <w:r>
          <w:rPr>
            <w:color w:val="0000FF"/>
            <w:szCs w:val="20"/>
            <w:u w:val="single"/>
          </w:rPr>
          <w:t>https://www.ncbi.nlm.nih.gov/pmc/articles/PMC7082244</w:t>
        </w:r>
      </w:hyperlink>
    </w:p>
  </w:footnote>
  <w:footnote w:id="37">
    <w:p w14:paraId="13BEFB66"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38">
    <w:p w14:paraId="20BF3C18" w14:textId="77777777" w:rsidR="00056AEE" w:rsidRDefault="00A00CB7">
      <w:pPr>
        <w:pStyle w:val="footnote1"/>
      </w:pPr>
      <w:r>
        <w:rPr>
          <w:vertAlign w:val="superscript"/>
        </w:rPr>
        <w:footnoteRef/>
      </w:r>
      <w:r>
        <w:rPr>
          <w:vertAlign w:val="superscript"/>
        </w:rPr>
        <w:tab/>
      </w:r>
      <w:hyperlink r:id="rId29">
        <w:r>
          <w:rPr>
            <w:color w:val="0000FF"/>
            <w:szCs w:val="20"/>
            <w:u w:val="single"/>
          </w:rPr>
          <w:t>https://www.eea.europa.eu/publications/zero-pollution</w:t>
        </w:r>
      </w:hyperlink>
    </w:p>
  </w:footnote>
  <w:footnote w:id="39">
    <w:p w14:paraId="6371157F" w14:textId="77777777" w:rsidR="00056AEE" w:rsidRDefault="00A00CB7">
      <w:pPr>
        <w:pStyle w:val="footnote1"/>
      </w:pPr>
      <w:r>
        <w:rPr>
          <w:vertAlign w:val="superscript"/>
        </w:rPr>
        <w:footnoteRef/>
      </w:r>
      <w:r>
        <w:rPr>
          <w:vertAlign w:val="superscript"/>
        </w:rPr>
        <w:tab/>
      </w:r>
      <w:r>
        <w:rPr>
          <w:color w:val="000000"/>
        </w:rPr>
        <w:t xml:space="preserve">For guidance on the diseases and disorders under scope of this topic please consult ICD-11 for Mortality and Morbidity Statistics (who.int): </w:t>
      </w:r>
      <w:hyperlink r:id="rId30" w:anchor="1516623224">
        <w:r>
          <w:rPr>
            <w:color w:val="0000FF"/>
            <w:szCs w:val="20"/>
            <w:u w:val="single"/>
          </w:rPr>
          <w:t>https://icd.who.int/browse/2024-01/mms/en#1516623224</w:t>
        </w:r>
      </w:hyperlink>
      <w:r>
        <w:rPr>
          <w:color w:val="000000"/>
        </w:rPr>
        <w:t xml:space="preserve"> Chapters 6 and 8 specifically on neurodevelopmental disorders and neurocognitive disorders (including accelerated cognitive decline).</w:t>
      </w:r>
    </w:p>
  </w:footnote>
  <w:footnote w:id="40">
    <w:p w14:paraId="04528C7F" w14:textId="77777777" w:rsidR="00056AEE" w:rsidRDefault="00A00CB7">
      <w:pPr>
        <w:pStyle w:val="footnote1"/>
      </w:pPr>
      <w:r>
        <w:rPr>
          <w:vertAlign w:val="superscript"/>
        </w:rPr>
        <w:footnoteRef/>
      </w:r>
      <w:r>
        <w:rPr>
          <w:vertAlign w:val="superscript"/>
        </w:rPr>
        <w:tab/>
      </w:r>
      <w:hyperlink r:id="rId31">
        <w:r>
          <w:rPr>
            <w:color w:val="0000FF"/>
            <w:szCs w:val="20"/>
            <w:u w:val="single"/>
          </w:rPr>
          <w:t>https://euraxess.ec.europa.eu/worldwide/asean/news/european-commission-publishes-plan-phasing-out-animal-testing</w:t>
        </w:r>
      </w:hyperlink>
    </w:p>
  </w:footnote>
  <w:footnote w:id="41">
    <w:p w14:paraId="6DE49211"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42">
    <w:p w14:paraId="74C47D46" w14:textId="77777777" w:rsidR="00056AEE" w:rsidRDefault="00A00CB7">
      <w:pPr>
        <w:pStyle w:val="footnote1"/>
      </w:pPr>
      <w:r>
        <w:rPr>
          <w:vertAlign w:val="superscript"/>
        </w:rPr>
        <w:footnoteRef/>
      </w:r>
      <w:r>
        <w:rPr>
          <w:vertAlign w:val="superscript"/>
        </w:rPr>
        <w:tab/>
      </w:r>
      <w:hyperlink r:id="rId32">
        <w:r>
          <w:rPr>
            <w:color w:val="0000FF"/>
            <w:szCs w:val="20"/>
            <w:u w:val="single"/>
          </w:rPr>
          <w:t>https://research-and-innovation.ec.europa.eu/research-area/health/environment-and-health_en</w:t>
        </w:r>
      </w:hyperlink>
    </w:p>
  </w:footnote>
  <w:footnote w:id="43">
    <w:p w14:paraId="3106E43C" w14:textId="77777777" w:rsidR="00056AEE" w:rsidRDefault="00A00CB7">
      <w:pPr>
        <w:pStyle w:val="footnote1"/>
      </w:pPr>
      <w:r>
        <w:rPr>
          <w:vertAlign w:val="superscript"/>
        </w:rPr>
        <w:footnoteRef/>
      </w:r>
      <w:r>
        <w:rPr>
          <w:vertAlign w:val="superscript"/>
        </w:rPr>
        <w:tab/>
      </w:r>
      <w:hyperlink r:id="rId33">
        <w:r>
          <w:rPr>
            <w:color w:val="0000FF"/>
            <w:szCs w:val="20"/>
            <w:u w:val="single"/>
          </w:rPr>
          <w:t>https://etendering.ted.europa.eu/cft/cft-display.html?cftId=13967</w:t>
        </w:r>
      </w:hyperlink>
    </w:p>
  </w:footnote>
  <w:footnote w:id="44">
    <w:p w14:paraId="706EAABC" w14:textId="77777777" w:rsidR="00056AEE" w:rsidRDefault="00A00CB7">
      <w:pPr>
        <w:pStyle w:val="footnote1"/>
      </w:pPr>
      <w:r>
        <w:rPr>
          <w:vertAlign w:val="superscript"/>
        </w:rPr>
        <w:footnoteRef/>
      </w:r>
      <w:r>
        <w:rPr>
          <w:vertAlign w:val="superscript"/>
        </w:rPr>
        <w:tab/>
      </w:r>
      <w:hyperlink r:id="rId34">
        <w:r>
          <w:rPr>
            <w:color w:val="0000FF"/>
            <w:szCs w:val="20"/>
            <w:u w:val="single"/>
          </w:rPr>
          <w:t>https://www.efsa.europa.eu/en/art36grants/article36/gpefsaed202201-nam-projects-areas-aop-development-and-transcriptomics-risk</w:t>
        </w:r>
      </w:hyperlink>
    </w:p>
  </w:footnote>
  <w:footnote w:id="45">
    <w:p w14:paraId="6098DF70" w14:textId="77777777" w:rsidR="00056AEE" w:rsidRDefault="00A00CB7">
      <w:pPr>
        <w:pStyle w:val="footnote1"/>
      </w:pPr>
      <w:r>
        <w:rPr>
          <w:vertAlign w:val="superscript"/>
        </w:rPr>
        <w:footnoteRef/>
      </w:r>
      <w:r>
        <w:rPr>
          <w:vertAlign w:val="superscript"/>
        </w:rPr>
        <w:tab/>
      </w:r>
      <w:hyperlink r:id="rId35">
        <w:r>
          <w:rPr>
            <w:color w:val="0000FF"/>
            <w:szCs w:val="20"/>
            <w:u w:val="single"/>
          </w:rPr>
          <w:t>https://www.eu-parc.eu</w:t>
        </w:r>
      </w:hyperlink>
    </w:p>
  </w:footnote>
  <w:footnote w:id="46">
    <w:p w14:paraId="63C0B050" w14:textId="77777777" w:rsidR="00056AEE" w:rsidRDefault="00A00CB7">
      <w:pPr>
        <w:pStyle w:val="footnote1"/>
      </w:pPr>
      <w:r>
        <w:rPr>
          <w:vertAlign w:val="superscript"/>
        </w:rPr>
        <w:footnoteRef/>
      </w:r>
      <w:r>
        <w:rPr>
          <w:vertAlign w:val="superscript"/>
        </w:rPr>
        <w:tab/>
      </w:r>
      <w:hyperlink r:id="rId36">
        <w:r>
          <w:rPr>
            <w:color w:val="0000FF"/>
            <w:szCs w:val="20"/>
            <w:u w:val="single"/>
          </w:rPr>
          <w:t>https://ipchem.jrc.ec.europa.eu</w:t>
        </w:r>
      </w:hyperlink>
    </w:p>
  </w:footnote>
  <w:footnote w:id="47">
    <w:p w14:paraId="7238EB17" w14:textId="77777777" w:rsidR="00056AEE" w:rsidRDefault="00A00CB7">
      <w:pPr>
        <w:pStyle w:val="footnote1"/>
      </w:pPr>
      <w:r>
        <w:rPr>
          <w:vertAlign w:val="superscript"/>
        </w:rPr>
        <w:footnoteRef/>
      </w:r>
      <w:r>
        <w:rPr>
          <w:vertAlign w:val="superscript"/>
        </w:rPr>
        <w:tab/>
      </w:r>
      <w:hyperlink r:id="rId37">
        <w:r>
          <w:rPr>
            <w:color w:val="0000FF"/>
            <w:szCs w:val="20"/>
            <w:u w:val="single"/>
          </w:rPr>
          <w:t>https://research-and-innovation.ec.europa.eu/research-area/health/environment-and-health_en</w:t>
        </w:r>
      </w:hyperlink>
    </w:p>
  </w:footnote>
  <w:footnote w:id="48">
    <w:p w14:paraId="0C9FBF21"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49">
    <w:p w14:paraId="67740C82" w14:textId="77777777" w:rsidR="00056AEE" w:rsidRDefault="00A00CB7">
      <w:pPr>
        <w:pStyle w:val="footnote1"/>
      </w:pPr>
      <w:r>
        <w:rPr>
          <w:vertAlign w:val="superscript"/>
        </w:rPr>
        <w:footnoteRef/>
      </w:r>
      <w:r>
        <w:rPr>
          <w:vertAlign w:val="superscript"/>
        </w:rPr>
        <w:tab/>
      </w:r>
      <w:hyperlink r:id="rId38">
        <w:r>
          <w:rPr>
            <w:color w:val="0000FF"/>
            <w:szCs w:val="20"/>
            <w:u w:val="single"/>
          </w:rPr>
          <w:t>https://euraxess.ec.europa.eu/worldwide/asean/news/european-commission-publishes-plan-phasing-out-animal-testing</w:t>
        </w:r>
      </w:hyperlink>
    </w:p>
  </w:footnote>
  <w:footnote w:id="50">
    <w:p w14:paraId="6A10C7EB" w14:textId="77777777" w:rsidR="00056AEE" w:rsidRDefault="00A00CB7">
      <w:pPr>
        <w:pStyle w:val="footnote1"/>
      </w:pPr>
      <w:r>
        <w:rPr>
          <w:vertAlign w:val="superscript"/>
        </w:rPr>
        <w:footnoteRef/>
      </w:r>
      <w:r>
        <w:rPr>
          <w:vertAlign w:val="superscript"/>
        </w:rPr>
        <w:tab/>
      </w:r>
      <w:hyperlink r:id="rId39">
        <w:r>
          <w:rPr>
            <w:color w:val="0000FF"/>
            <w:szCs w:val="20"/>
            <w:u w:val="single"/>
          </w:rPr>
          <w:t>https://research-and-innovation.ec.europa.eu/research-area/health/environment-and-health_en</w:t>
        </w:r>
      </w:hyperlink>
    </w:p>
  </w:footnote>
  <w:footnote w:id="51">
    <w:p w14:paraId="20D26368" w14:textId="77777777" w:rsidR="00056AEE" w:rsidRDefault="00A00CB7">
      <w:pPr>
        <w:pStyle w:val="footnote1"/>
      </w:pPr>
      <w:r>
        <w:rPr>
          <w:vertAlign w:val="superscript"/>
        </w:rPr>
        <w:footnoteRef/>
      </w:r>
      <w:r>
        <w:rPr>
          <w:vertAlign w:val="superscript"/>
        </w:rPr>
        <w:tab/>
      </w:r>
      <w:r>
        <w:rPr>
          <w:color w:val="000000"/>
        </w:rPr>
        <w:t xml:space="preserve">European research cluster to understand the health impacts of micro- and nanoplastics: </w:t>
      </w:r>
      <w:hyperlink r:id="rId40">
        <w:r>
          <w:rPr>
            <w:color w:val="0000FF"/>
            <w:szCs w:val="20"/>
            <w:u w:val="single"/>
          </w:rPr>
          <w:t>https://cusp-research.eu</w:t>
        </w:r>
      </w:hyperlink>
    </w:p>
  </w:footnote>
  <w:footnote w:id="52">
    <w:p w14:paraId="423C48E0"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53">
    <w:p w14:paraId="1DC486C7" w14:textId="77777777" w:rsidR="00056AEE" w:rsidRDefault="00A00CB7">
      <w:pPr>
        <w:pStyle w:val="footnote1"/>
      </w:pPr>
      <w:r>
        <w:rPr>
          <w:vertAlign w:val="superscript"/>
        </w:rPr>
        <w:footnoteRef/>
      </w:r>
      <w:r>
        <w:rPr>
          <w:vertAlign w:val="superscript"/>
        </w:rPr>
        <w:tab/>
      </w:r>
      <w:hyperlink r:id="rId41">
        <w:r>
          <w:rPr>
            <w:color w:val="0000FF"/>
            <w:szCs w:val="20"/>
            <w:u w:val="single"/>
          </w:rPr>
          <w:t>https://ipchem.jrc.ec.europa.eu</w:t>
        </w:r>
      </w:hyperlink>
    </w:p>
  </w:footnote>
  <w:footnote w:id="54">
    <w:p w14:paraId="17734C20" w14:textId="77777777" w:rsidR="00056AEE" w:rsidRDefault="00A00CB7">
      <w:pPr>
        <w:pStyle w:val="footnote1"/>
      </w:pPr>
      <w:r>
        <w:rPr>
          <w:vertAlign w:val="superscript"/>
        </w:rPr>
        <w:footnoteRef/>
      </w:r>
      <w:r>
        <w:rPr>
          <w:vertAlign w:val="superscript"/>
        </w:rPr>
        <w:tab/>
      </w:r>
      <w:hyperlink r:id="rId42">
        <w:r>
          <w:rPr>
            <w:color w:val="0000FF"/>
            <w:szCs w:val="20"/>
            <w:u w:val="single"/>
          </w:rPr>
          <w:t>https://research-and-innovation.ec.europa.eu/research-area/health/environment-and-health_en</w:t>
        </w:r>
      </w:hyperlink>
    </w:p>
  </w:footnote>
  <w:footnote w:id="55">
    <w:p w14:paraId="3D3C1435" w14:textId="77777777" w:rsidR="00056AEE" w:rsidRDefault="00A00CB7">
      <w:pPr>
        <w:pStyle w:val="footnote1"/>
      </w:pPr>
      <w:r>
        <w:rPr>
          <w:vertAlign w:val="superscript"/>
        </w:rPr>
        <w:footnoteRef/>
      </w:r>
      <w:r>
        <w:rPr>
          <w:vertAlign w:val="superscript"/>
        </w:rPr>
        <w:tab/>
      </w:r>
      <w:hyperlink r:id="rId43">
        <w:r>
          <w:rPr>
            <w:color w:val="0000FF"/>
            <w:szCs w:val="20"/>
            <w:u w:val="single"/>
          </w:rPr>
          <w:t>https://era4health.eu</w:t>
        </w:r>
      </w:hyperlink>
    </w:p>
  </w:footnote>
  <w:footnote w:id="56">
    <w:p w14:paraId="44E01204" w14:textId="77777777" w:rsidR="00056AEE" w:rsidRDefault="00A00CB7">
      <w:pPr>
        <w:pStyle w:val="footnote1"/>
      </w:pPr>
      <w:r>
        <w:rPr>
          <w:vertAlign w:val="superscript"/>
        </w:rPr>
        <w:footnoteRef/>
      </w:r>
      <w:r>
        <w:rPr>
          <w:vertAlign w:val="superscript"/>
        </w:rPr>
        <w:tab/>
      </w:r>
      <w:hyperlink r:id="rId44">
        <w:r>
          <w:rPr>
            <w:color w:val="0000FF"/>
            <w:szCs w:val="20"/>
            <w:u w:val="single"/>
          </w:rPr>
          <w:t>https://health.ec.europa.eu/funding/eu4health-programme-2021-2027-vision-healthier-european-union_en</w:t>
        </w:r>
      </w:hyperlink>
    </w:p>
  </w:footnote>
  <w:footnote w:id="57">
    <w:p w14:paraId="631FF858" w14:textId="77777777" w:rsidR="00056AEE" w:rsidRDefault="00A00CB7">
      <w:pPr>
        <w:pStyle w:val="footnote1"/>
      </w:pPr>
      <w:r>
        <w:rPr>
          <w:vertAlign w:val="superscript"/>
        </w:rPr>
        <w:footnoteRef/>
      </w:r>
      <w:r>
        <w:rPr>
          <w:vertAlign w:val="superscript"/>
        </w:rPr>
        <w:tab/>
      </w:r>
      <w:r>
        <w:rPr>
          <w:color w:val="000000"/>
        </w:rPr>
        <w:t>Non-communicable diseases</w:t>
      </w:r>
    </w:p>
  </w:footnote>
  <w:footnote w:id="58">
    <w:p w14:paraId="5C874074" w14:textId="77777777" w:rsidR="00056AEE" w:rsidRDefault="00A00CB7">
      <w:pPr>
        <w:pStyle w:val="footnote1"/>
      </w:pPr>
      <w:r>
        <w:rPr>
          <w:vertAlign w:val="superscript"/>
        </w:rPr>
        <w:footnoteRef/>
      </w:r>
      <w:r>
        <w:rPr>
          <w:vertAlign w:val="superscript"/>
        </w:rPr>
        <w:tab/>
      </w:r>
      <w:hyperlink r:id="rId45">
        <w:r>
          <w:rPr>
            <w:color w:val="0000FF"/>
            <w:szCs w:val="20"/>
            <w:u w:val="single"/>
          </w:rPr>
          <w:t>https://www.who.int/publications/i/item/9789241506236</w:t>
        </w:r>
      </w:hyperlink>
    </w:p>
  </w:footnote>
  <w:footnote w:id="59">
    <w:p w14:paraId="4BC07EFA" w14:textId="77777777" w:rsidR="00056AEE" w:rsidRDefault="00A00CB7">
      <w:pPr>
        <w:pStyle w:val="footnote1"/>
      </w:pPr>
      <w:r>
        <w:rPr>
          <w:vertAlign w:val="superscript"/>
        </w:rPr>
        <w:footnoteRef/>
      </w:r>
      <w:r>
        <w:rPr>
          <w:vertAlign w:val="superscript"/>
        </w:rPr>
        <w:tab/>
      </w:r>
      <w:r>
        <w:rPr>
          <w:color w:val="000000"/>
        </w:rPr>
        <w:t>Including for instance the following voluntary targets (against the 2010 baseline): A 25% relative reduction in the overall mortality from cardiovascular diseases, cancer, diabetes, or chronic respiratory diseases; Halt the rise in diabetes and obesity; An 80% availability of the affordable basic technologies and essential medicines, including generics, required to treat major non-communicable diseases in both public and private facilities.</w:t>
      </w:r>
    </w:p>
  </w:footnote>
  <w:footnote w:id="60">
    <w:p w14:paraId="32D418AF" w14:textId="77777777" w:rsidR="00056AEE" w:rsidRDefault="00A00CB7">
      <w:pPr>
        <w:pStyle w:val="footnote1"/>
      </w:pPr>
      <w:r>
        <w:rPr>
          <w:vertAlign w:val="superscript"/>
        </w:rPr>
        <w:footnoteRef/>
      </w:r>
      <w:r>
        <w:rPr>
          <w:vertAlign w:val="superscript"/>
        </w:rPr>
        <w:tab/>
      </w:r>
      <w:r>
        <w:rPr>
          <w:color w:val="000000"/>
        </w:rPr>
        <w:t>Disability-adjusted life year (DALY) is a quantitative indicator of overall disease burden, expressed as the number of years lost due to ill-health, disability or early death.</w:t>
      </w:r>
    </w:p>
  </w:footnote>
  <w:footnote w:id="61">
    <w:p w14:paraId="0DC3BF94" w14:textId="77777777" w:rsidR="00056AEE" w:rsidRDefault="00A00CB7">
      <w:pPr>
        <w:pStyle w:val="footnote1"/>
      </w:pPr>
      <w:r>
        <w:rPr>
          <w:vertAlign w:val="superscript"/>
        </w:rPr>
        <w:footnoteRef/>
      </w:r>
      <w:r>
        <w:rPr>
          <w:vertAlign w:val="superscript"/>
        </w:rPr>
        <w:tab/>
      </w:r>
      <w:r>
        <w:rPr>
          <w:color w:val="000000"/>
        </w:rPr>
        <w:t>WHO global action plan on antimicrobial resistance, 2015</w:t>
      </w:r>
    </w:p>
  </w:footnote>
  <w:footnote w:id="62">
    <w:p w14:paraId="2999479D" w14:textId="77777777" w:rsidR="00056AEE" w:rsidRDefault="00A00CB7">
      <w:pPr>
        <w:pStyle w:val="footnote1"/>
      </w:pPr>
      <w:r>
        <w:rPr>
          <w:vertAlign w:val="superscript"/>
        </w:rPr>
        <w:footnoteRef/>
      </w:r>
      <w:r>
        <w:rPr>
          <w:vertAlign w:val="superscript"/>
        </w:rPr>
        <w:tab/>
      </w:r>
      <w:r>
        <w:rPr>
          <w:color w:val="000000"/>
        </w:rPr>
        <w:t>EU One Health Action Plan against AMR, 2017</w:t>
      </w:r>
    </w:p>
  </w:footnote>
  <w:footnote w:id="63">
    <w:p w14:paraId="785D2A5F" w14:textId="77777777" w:rsidR="00056AEE" w:rsidRDefault="00A00CB7">
      <w:pPr>
        <w:pStyle w:val="footnote1"/>
      </w:pPr>
      <w:r>
        <w:rPr>
          <w:vertAlign w:val="superscript"/>
        </w:rPr>
        <w:footnoteRef/>
      </w:r>
      <w:r>
        <w:rPr>
          <w:vertAlign w:val="superscript"/>
        </w:rPr>
        <w:tab/>
      </w:r>
      <w:hyperlink r:id="rId46">
        <w:r>
          <w:rPr>
            <w:color w:val="0000FF"/>
            <w:szCs w:val="20"/>
            <w:u w:val="single"/>
          </w:rPr>
          <w:t>https://www.who.int/news-room/fact-sheets/detail/antimicrobial-resistance</w:t>
        </w:r>
      </w:hyperlink>
    </w:p>
  </w:footnote>
  <w:footnote w:id="64">
    <w:p w14:paraId="292F84A3" w14:textId="77777777" w:rsidR="00056AEE" w:rsidRDefault="00A00CB7">
      <w:pPr>
        <w:pStyle w:val="footnote1"/>
      </w:pPr>
      <w:r>
        <w:rPr>
          <w:vertAlign w:val="superscript"/>
        </w:rPr>
        <w:footnoteRef/>
      </w:r>
      <w:r>
        <w:rPr>
          <w:vertAlign w:val="superscript"/>
        </w:rPr>
        <w:tab/>
      </w:r>
      <w:hyperlink r:id="rId47">
        <w:r>
          <w:rPr>
            <w:color w:val="0000FF"/>
            <w:szCs w:val="20"/>
            <w:u w:val="single"/>
          </w:rPr>
          <w:t>https://www.who.int/news/item/22-06-2022-22-06-2022-lack-of-innovation-set-to-undermine-antibiotic-performance-and-health-gains</w:t>
        </w:r>
      </w:hyperlink>
    </w:p>
  </w:footnote>
  <w:footnote w:id="65">
    <w:p w14:paraId="1F001A16" w14:textId="77777777" w:rsidR="00056AEE" w:rsidRDefault="00A00CB7">
      <w:pPr>
        <w:pStyle w:val="footnote1"/>
      </w:pPr>
      <w:r>
        <w:rPr>
          <w:vertAlign w:val="superscript"/>
        </w:rPr>
        <w:footnoteRef/>
      </w:r>
      <w:r>
        <w:rPr>
          <w:vertAlign w:val="superscript"/>
        </w:rPr>
        <w:tab/>
      </w:r>
      <w:hyperlink r:id="rId48">
        <w:r>
          <w:rPr>
            <w:color w:val="0000FF"/>
            <w:szCs w:val="20"/>
            <w:u w:val="single"/>
          </w:rPr>
          <w:t>https://iris.who.int/bitstream/handle/10665/376776/9789240093461-eng.pdf?sequence=1</w:t>
        </w:r>
      </w:hyperlink>
    </w:p>
  </w:footnote>
  <w:footnote w:id="66">
    <w:p w14:paraId="61F592A9" w14:textId="77777777" w:rsidR="00056AEE" w:rsidRDefault="00A00CB7">
      <w:pPr>
        <w:pStyle w:val="footnote1"/>
      </w:pPr>
      <w:r>
        <w:rPr>
          <w:vertAlign w:val="superscript"/>
        </w:rPr>
        <w:footnoteRef/>
      </w:r>
      <w:r>
        <w:rPr>
          <w:vertAlign w:val="superscript"/>
        </w:rPr>
        <w:tab/>
      </w:r>
      <w:hyperlink r:id="rId49">
        <w:r>
          <w:rPr>
            <w:color w:val="0000FF"/>
            <w:szCs w:val="20"/>
            <w:u w:val="single"/>
          </w:rPr>
          <w:t>https://www.ncbi.nlm.nih.gov/pmc/articles/PMC9598614</w:t>
        </w:r>
      </w:hyperlink>
    </w:p>
  </w:footnote>
  <w:footnote w:id="67">
    <w:p w14:paraId="250840FA" w14:textId="77777777" w:rsidR="00056AEE" w:rsidRDefault="00A00CB7">
      <w:pPr>
        <w:pStyle w:val="footnote1"/>
      </w:pPr>
      <w:r>
        <w:rPr>
          <w:vertAlign w:val="superscript"/>
        </w:rPr>
        <w:footnoteRef/>
      </w:r>
      <w:r>
        <w:rPr>
          <w:vertAlign w:val="superscript"/>
        </w:rPr>
        <w:tab/>
      </w:r>
      <w:hyperlink r:id="rId50">
        <w:r>
          <w:rPr>
            <w:color w:val="0000FF"/>
            <w:szCs w:val="20"/>
            <w:u w:val="single"/>
          </w:rPr>
          <w:t>https://www.ema.europa.eu/en/human-regulatory-overview/research-development/scientific-advice-protocol-assistance</w:t>
        </w:r>
      </w:hyperlink>
    </w:p>
  </w:footnote>
  <w:footnote w:id="68">
    <w:p w14:paraId="48B179A8" w14:textId="77777777" w:rsidR="00056AEE" w:rsidRDefault="00A00CB7">
      <w:pPr>
        <w:pStyle w:val="footnote1"/>
      </w:pPr>
      <w:r>
        <w:rPr>
          <w:vertAlign w:val="superscript"/>
        </w:rPr>
        <w:footnoteRef/>
      </w:r>
      <w:r>
        <w:rPr>
          <w:vertAlign w:val="superscript"/>
        </w:rPr>
        <w:tab/>
      </w:r>
      <w:hyperlink r:id="rId51">
        <w:r>
          <w:rPr>
            <w:color w:val="0000FF"/>
            <w:szCs w:val="20"/>
            <w:u w:val="single"/>
          </w:rPr>
          <w:t>https://eur-lex.europa.eu/legal-content/EN/TXT/PDF/?uri=CELEX:32003H0361</w:t>
        </w:r>
      </w:hyperlink>
    </w:p>
  </w:footnote>
  <w:footnote w:id="69">
    <w:p w14:paraId="5B94FCC5"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70">
    <w:p w14:paraId="7DB1EA21" w14:textId="77777777" w:rsidR="00056AEE" w:rsidRDefault="00A00CB7">
      <w:pPr>
        <w:pStyle w:val="footnote1"/>
      </w:pPr>
      <w:r>
        <w:rPr>
          <w:vertAlign w:val="superscript"/>
        </w:rPr>
        <w:footnoteRef/>
      </w:r>
      <w:r>
        <w:rPr>
          <w:vertAlign w:val="superscript"/>
        </w:rPr>
        <w:tab/>
      </w:r>
      <w:r>
        <w:rPr>
          <w:color w:val="000000"/>
        </w:rPr>
        <w:t xml:space="preserve">General Data Protection Regulation: </w:t>
      </w:r>
      <w:hyperlink r:id="rId52">
        <w:r>
          <w:rPr>
            <w:color w:val="0000FF"/>
            <w:szCs w:val="20"/>
            <w:u w:val="single"/>
          </w:rPr>
          <w:t>https://gdpr-info.eu</w:t>
        </w:r>
      </w:hyperlink>
    </w:p>
  </w:footnote>
  <w:footnote w:id="71">
    <w:p w14:paraId="2D6FE8A7" w14:textId="77777777" w:rsidR="00056AEE" w:rsidRDefault="00A00CB7">
      <w:pPr>
        <w:pStyle w:val="footnote1"/>
      </w:pPr>
      <w:r>
        <w:rPr>
          <w:vertAlign w:val="superscript"/>
        </w:rPr>
        <w:footnoteRef/>
      </w:r>
      <w:r>
        <w:rPr>
          <w:vertAlign w:val="superscript"/>
        </w:rPr>
        <w:tab/>
      </w:r>
      <w:r>
        <w:rPr>
          <w:color w:val="000000"/>
        </w:rPr>
        <w:t>Innovative interventions are to be interpreted as being based on new and/or alternative approaches that are aimed at achieving a lasting therapeutic benefit. The innovative intervention should be seen as being a therapeutic intervention that is complemented by other multidisciplinary approaches.</w:t>
      </w:r>
    </w:p>
  </w:footnote>
  <w:footnote w:id="72">
    <w:p w14:paraId="393D2177"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73">
    <w:p w14:paraId="7939A10D" w14:textId="77777777" w:rsidR="00056AEE" w:rsidRDefault="00A00CB7">
      <w:pPr>
        <w:pStyle w:val="footnote1"/>
      </w:pPr>
      <w:r>
        <w:rPr>
          <w:vertAlign w:val="superscript"/>
        </w:rPr>
        <w:footnoteRef/>
      </w:r>
      <w:r>
        <w:rPr>
          <w:vertAlign w:val="superscript"/>
        </w:rPr>
        <w:tab/>
      </w:r>
      <w:r>
        <w:rPr>
          <w:color w:val="000000"/>
        </w:rPr>
        <w:t>If proposals concern drug addiction, they are encouraged to liaise with the EU Drugs Agency.</w:t>
      </w:r>
    </w:p>
  </w:footnote>
  <w:footnote w:id="74">
    <w:p w14:paraId="32E47339" w14:textId="77777777" w:rsidR="00056AEE" w:rsidRDefault="00A00CB7">
      <w:pPr>
        <w:pStyle w:val="footnote1"/>
      </w:pPr>
      <w:r>
        <w:rPr>
          <w:vertAlign w:val="superscript"/>
        </w:rPr>
        <w:footnoteRef/>
      </w:r>
      <w:r>
        <w:rPr>
          <w:vertAlign w:val="superscript"/>
        </w:rPr>
        <w:tab/>
      </w:r>
      <w:r>
        <w:rPr>
          <w:color w:val="000000"/>
        </w:rPr>
        <w:t>International Classification of Diseases 11th Revision (ICD-11), developed by the World Health Organization (WHO); Chapter 6: ‘Mental, behavioural or neurodevelopmental disorders’.</w:t>
      </w:r>
    </w:p>
  </w:footnote>
  <w:footnote w:id="75">
    <w:p w14:paraId="01252329" w14:textId="77777777" w:rsidR="00056AEE" w:rsidRDefault="00A00CB7">
      <w:pPr>
        <w:pStyle w:val="footnote1"/>
      </w:pPr>
      <w:r>
        <w:rPr>
          <w:vertAlign w:val="superscript"/>
        </w:rPr>
        <w:footnoteRef/>
      </w:r>
      <w:r>
        <w:rPr>
          <w:vertAlign w:val="superscript"/>
        </w:rPr>
        <w:tab/>
      </w:r>
      <w:r>
        <w:rPr>
          <w:color w:val="000000"/>
        </w:rPr>
        <w:t>Rare diseases, as defined by the European Union Regulation on Orphan Medicinal Products (1999), being a disease that affects not more than 1 person per 2000 in the European population (</w:t>
      </w:r>
      <w:hyperlink r:id="rId53">
        <w:r>
          <w:rPr>
            <w:color w:val="0000FF"/>
            <w:szCs w:val="20"/>
            <w:u w:val="single"/>
          </w:rPr>
          <w:t>https://www.orpha.net/</w:t>
        </w:r>
      </w:hyperlink>
      <w:r>
        <w:rPr>
          <w:color w:val="000000"/>
        </w:rPr>
        <w:t>).</w:t>
      </w:r>
    </w:p>
  </w:footnote>
  <w:footnote w:id="76">
    <w:p w14:paraId="08C27A05" w14:textId="77777777" w:rsidR="00056AEE" w:rsidRDefault="00A00CB7">
      <w:pPr>
        <w:pStyle w:val="footnote1"/>
      </w:pPr>
      <w:r>
        <w:rPr>
          <w:vertAlign w:val="superscript"/>
        </w:rPr>
        <w:footnoteRef/>
      </w:r>
      <w:r>
        <w:rPr>
          <w:vertAlign w:val="superscript"/>
        </w:rPr>
        <w:tab/>
      </w:r>
      <w:r>
        <w:rPr>
          <w:color w:val="000000"/>
        </w:rPr>
        <w:t>Generative AI is a type of AI technology that can generate various forms of new content such as text, images, sounds, and even code, such as for programming or gene sequencing (</w:t>
      </w:r>
      <w:hyperlink r:id="rId54">
        <w:r>
          <w:rPr>
            <w:color w:val="0000FF"/>
            <w:szCs w:val="20"/>
            <w:u w:val="single"/>
          </w:rPr>
          <w:t>https://ec.europa.eu/newsroom/dae/redirection/document/101621</w:t>
        </w:r>
      </w:hyperlink>
      <w:r>
        <w:rPr>
          <w:color w:val="000000"/>
        </w:rPr>
        <w:t>).</w:t>
      </w:r>
    </w:p>
  </w:footnote>
  <w:footnote w:id="77">
    <w:p w14:paraId="27CFC60B" w14:textId="77777777" w:rsidR="00056AEE" w:rsidRDefault="00A00CB7">
      <w:pPr>
        <w:pStyle w:val="footnote1"/>
      </w:pPr>
      <w:r>
        <w:rPr>
          <w:vertAlign w:val="superscript"/>
        </w:rPr>
        <w:footnoteRef/>
      </w:r>
      <w:r>
        <w:rPr>
          <w:vertAlign w:val="superscript"/>
        </w:rPr>
        <w:tab/>
      </w:r>
      <w:hyperlink r:id="rId55">
        <w:r>
          <w:rPr>
            <w:color w:val="0000FF"/>
            <w:szCs w:val="20"/>
            <w:u w:val="single"/>
          </w:rPr>
          <w:t>https://ecrin.org</w:t>
        </w:r>
      </w:hyperlink>
    </w:p>
  </w:footnote>
  <w:footnote w:id="78">
    <w:p w14:paraId="68ED6A20" w14:textId="77777777" w:rsidR="00056AEE" w:rsidRDefault="00A00CB7">
      <w:pPr>
        <w:pStyle w:val="footnote1"/>
      </w:pPr>
      <w:r>
        <w:rPr>
          <w:vertAlign w:val="superscript"/>
        </w:rPr>
        <w:footnoteRef/>
      </w:r>
      <w:r>
        <w:rPr>
          <w:vertAlign w:val="superscript"/>
        </w:rPr>
        <w:tab/>
      </w:r>
      <w:hyperlink r:id="rId56">
        <w:r>
          <w:rPr>
            <w:color w:val="0000FF"/>
            <w:szCs w:val="20"/>
            <w:u w:val="single"/>
          </w:rPr>
          <w:t>https://eatris.eu</w:t>
        </w:r>
      </w:hyperlink>
    </w:p>
  </w:footnote>
  <w:footnote w:id="79">
    <w:p w14:paraId="770D32D0" w14:textId="77777777" w:rsidR="00056AEE" w:rsidRDefault="00A00CB7">
      <w:pPr>
        <w:pStyle w:val="footnote1"/>
      </w:pPr>
      <w:r>
        <w:rPr>
          <w:vertAlign w:val="superscript"/>
        </w:rPr>
        <w:footnoteRef/>
      </w:r>
      <w:r>
        <w:rPr>
          <w:vertAlign w:val="superscript"/>
        </w:rPr>
        <w:tab/>
      </w:r>
      <w:hyperlink r:id="rId57">
        <w:r>
          <w:rPr>
            <w:color w:val="0000FF"/>
            <w:szCs w:val="20"/>
            <w:u w:val="single"/>
          </w:rPr>
          <w:t>https://www.ebrains.eu</w:t>
        </w:r>
      </w:hyperlink>
    </w:p>
  </w:footnote>
  <w:footnote w:id="80">
    <w:p w14:paraId="50634E59" w14:textId="77777777" w:rsidR="00056AEE" w:rsidRDefault="00A00CB7">
      <w:pPr>
        <w:pStyle w:val="footnote1"/>
      </w:pPr>
      <w:r>
        <w:rPr>
          <w:vertAlign w:val="superscript"/>
        </w:rPr>
        <w:footnoteRef/>
      </w:r>
      <w:r>
        <w:rPr>
          <w:vertAlign w:val="superscript"/>
        </w:rPr>
        <w:tab/>
      </w:r>
      <w:hyperlink r:id="rId58">
        <w:r>
          <w:rPr>
            <w:color w:val="0000FF"/>
            <w:szCs w:val="20"/>
            <w:u w:val="single"/>
          </w:rPr>
          <w:t>https://www.bbmri-eric.eu</w:t>
        </w:r>
      </w:hyperlink>
    </w:p>
  </w:footnote>
  <w:footnote w:id="81">
    <w:p w14:paraId="0CC17EAF" w14:textId="77777777" w:rsidR="00056AEE" w:rsidRDefault="00A00CB7">
      <w:pPr>
        <w:pStyle w:val="footnote1"/>
      </w:pPr>
      <w:r>
        <w:rPr>
          <w:vertAlign w:val="superscript"/>
        </w:rPr>
        <w:footnoteRef/>
      </w:r>
      <w:r>
        <w:rPr>
          <w:vertAlign w:val="superscript"/>
        </w:rPr>
        <w:tab/>
      </w:r>
      <w:hyperlink r:id="rId59">
        <w:r>
          <w:rPr>
            <w:color w:val="0000FF"/>
            <w:szCs w:val="20"/>
            <w:u w:val="single"/>
          </w:rPr>
          <w:t>https://gdi.onemilliongenomes.eu</w:t>
        </w:r>
      </w:hyperlink>
    </w:p>
  </w:footnote>
  <w:footnote w:id="82">
    <w:p w14:paraId="7625A496" w14:textId="77777777" w:rsidR="00056AEE" w:rsidRDefault="00A00CB7">
      <w:pPr>
        <w:pStyle w:val="footnote1"/>
      </w:pPr>
      <w:r>
        <w:rPr>
          <w:vertAlign w:val="superscript"/>
        </w:rPr>
        <w:footnoteRef/>
      </w:r>
      <w:r>
        <w:rPr>
          <w:vertAlign w:val="superscript"/>
        </w:rPr>
        <w:tab/>
      </w:r>
      <w:hyperlink r:id="rId60">
        <w:r>
          <w:rPr>
            <w:color w:val="0000FF"/>
            <w:szCs w:val="20"/>
            <w:u w:val="single"/>
          </w:rPr>
          <w:t>https://www.who.int/teams/health-product-policy-and-standards/standards-and-specifications/gmp</w:t>
        </w:r>
      </w:hyperlink>
    </w:p>
  </w:footnote>
  <w:footnote w:id="83">
    <w:p w14:paraId="1D28045B"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84">
    <w:p w14:paraId="233BE643" w14:textId="77777777" w:rsidR="00056AEE" w:rsidRDefault="00A00CB7">
      <w:pPr>
        <w:pStyle w:val="footnote1"/>
      </w:pPr>
      <w:r>
        <w:rPr>
          <w:vertAlign w:val="superscript"/>
        </w:rPr>
        <w:footnoteRef/>
      </w:r>
      <w:r>
        <w:rPr>
          <w:vertAlign w:val="superscript"/>
        </w:rPr>
        <w:tab/>
      </w:r>
      <w:hyperlink r:id="rId61">
        <w:r>
          <w:rPr>
            <w:color w:val="0000FF"/>
            <w:szCs w:val="20"/>
            <w:u w:val="single"/>
          </w:rPr>
          <w:t>https://health.ec.europa.eu/ehealth-digital-health-and-care/european-health-data-space_en</w:t>
        </w:r>
      </w:hyperlink>
    </w:p>
  </w:footnote>
  <w:footnote w:id="85">
    <w:p w14:paraId="4BFD4B97" w14:textId="77777777" w:rsidR="00056AEE" w:rsidRDefault="00A00CB7">
      <w:pPr>
        <w:pStyle w:val="footnote1"/>
      </w:pPr>
      <w:r>
        <w:rPr>
          <w:vertAlign w:val="superscript"/>
        </w:rPr>
        <w:footnoteRef/>
      </w:r>
      <w:r>
        <w:rPr>
          <w:vertAlign w:val="superscript"/>
        </w:rPr>
        <w:tab/>
      </w:r>
      <w:hyperlink r:id="rId62">
        <w:r>
          <w:rPr>
            <w:color w:val="0000FF"/>
            <w:szCs w:val="20"/>
            <w:u w:val="single"/>
          </w:rPr>
          <w:t>https://research-and-innovation.ec.europa.eu/strategy/strategy-2020-2024/our-digital-future/open-science/european-open-science-cloud-eosc_en</w:t>
        </w:r>
      </w:hyperlink>
    </w:p>
  </w:footnote>
  <w:footnote w:id="86">
    <w:p w14:paraId="4F49C2FC" w14:textId="77777777" w:rsidR="00056AEE" w:rsidRDefault="00A00CB7">
      <w:pPr>
        <w:pStyle w:val="footnote1"/>
      </w:pPr>
      <w:r>
        <w:rPr>
          <w:vertAlign w:val="superscript"/>
        </w:rPr>
        <w:footnoteRef/>
      </w:r>
      <w:r>
        <w:rPr>
          <w:vertAlign w:val="superscript"/>
        </w:rPr>
        <w:tab/>
      </w:r>
      <w:hyperlink r:id="rId63">
        <w:r>
          <w:rPr>
            <w:color w:val="0000FF"/>
            <w:szCs w:val="20"/>
            <w:u w:val="single"/>
          </w:rPr>
          <w:t>https://www.glopid-r.org</w:t>
        </w:r>
      </w:hyperlink>
    </w:p>
  </w:footnote>
  <w:footnote w:id="87">
    <w:p w14:paraId="5BCA234C" w14:textId="77777777" w:rsidR="00056AEE" w:rsidRDefault="00A00CB7">
      <w:pPr>
        <w:pStyle w:val="footnote1"/>
      </w:pPr>
      <w:r>
        <w:rPr>
          <w:vertAlign w:val="superscript"/>
        </w:rPr>
        <w:footnoteRef/>
      </w:r>
      <w:r>
        <w:rPr>
          <w:vertAlign w:val="superscript"/>
        </w:rPr>
        <w:tab/>
      </w:r>
      <w:hyperlink r:id="rId64">
        <w:r>
          <w:rPr>
            <w:color w:val="0000FF"/>
            <w:szCs w:val="20"/>
            <w:u w:val="single"/>
          </w:rPr>
          <w:t>https://www.gacd.org</w:t>
        </w:r>
      </w:hyperlink>
    </w:p>
  </w:footnote>
  <w:footnote w:id="88">
    <w:p w14:paraId="74B90E12" w14:textId="77777777" w:rsidR="00056AEE" w:rsidRDefault="00A00CB7">
      <w:pPr>
        <w:pStyle w:val="footnote1"/>
      </w:pPr>
      <w:r>
        <w:rPr>
          <w:vertAlign w:val="superscript"/>
        </w:rPr>
        <w:footnoteRef/>
      </w:r>
      <w:r>
        <w:rPr>
          <w:vertAlign w:val="superscript"/>
        </w:rPr>
        <w:tab/>
      </w:r>
      <w:r>
        <w:rPr>
          <w:color w:val="000000"/>
        </w:rPr>
        <w:t>Murphy A, Palafox B, Walli- Attaei M, et al. The household economic burden of non- communicable diseases in 18 countries. BMJ Global Health 2020;5:e002040. doi:10.1136/ bmjgh-2019-002040</w:t>
      </w:r>
    </w:p>
  </w:footnote>
  <w:footnote w:id="89">
    <w:p w14:paraId="7A5DC537" w14:textId="77777777" w:rsidR="00056AEE" w:rsidRDefault="00A00CB7">
      <w:pPr>
        <w:pStyle w:val="footnote1"/>
      </w:pPr>
      <w:r>
        <w:rPr>
          <w:vertAlign w:val="superscript"/>
        </w:rPr>
        <w:footnoteRef/>
      </w:r>
      <w:r>
        <w:rPr>
          <w:vertAlign w:val="superscript"/>
        </w:rPr>
        <w:tab/>
      </w:r>
      <w:r>
        <w:rPr>
          <w:color w:val="000000"/>
        </w:rPr>
        <w:t>Kruk ME, Pate M, Mullan Z. Introducing The Lancet Global Health Commission on High-Quality Health Systems in the SDG Era. Lancet Glob Health. 2017 May;5(5):e480-e481. doi: 10.1016/S2214-109X(17)30101-8. Epub 2017 Mar 13. PMID: 28302563.</w:t>
      </w:r>
    </w:p>
  </w:footnote>
  <w:footnote w:id="90">
    <w:p w14:paraId="7A63D8C5" w14:textId="77777777" w:rsidR="00056AEE" w:rsidRDefault="00A00CB7">
      <w:pPr>
        <w:pStyle w:val="footnote1"/>
      </w:pPr>
      <w:r>
        <w:rPr>
          <w:vertAlign w:val="superscript"/>
        </w:rPr>
        <w:footnoteRef/>
      </w:r>
      <w:r>
        <w:rPr>
          <w:vertAlign w:val="superscript"/>
        </w:rPr>
        <w:tab/>
      </w:r>
      <w:r>
        <w:rPr>
          <w:color w:val="000000"/>
        </w:rPr>
        <w:t xml:space="preserve">Hunter DJ, Bengoa R, Meeting the challenge of health system transformation in European countries, Policy and Society, Volume 42, Issue 1, March 2023, Pages 14–27, </w:t>
      </w:r>
      <w:hyperlink r:id="rId65">
        <w:r>
          <w:rPr>
            <w:color w:val="0000FF"/>
            <w:szCs w:val="20"/>
            <w:u w:val="single"/>
          </w:rPr>
          <w:t>https://doi.org/10.1093/polsoc/puac022</w:t>
        </w:r>
      </w:hyperlink>
    </w:p>
  </w:footnote>
  <w:footnote w:id="91">
    <w:p w14:paraId="637FFF44" w14:textId="77777777" w:rsidR="00056AEE" w:rsidRDefault="00A00CB7">
      <w:pPr>
        <w:pStyle w:val="footnote1"/>
      </w:pPr>
      <w:r>
        <w:rPr>
          <w:vertAlign w:val="superscript"/>
        </w:rPr>
        <w:footnoteRef/>
      </w:r>
      <w:r>
        <w:rPr>
          <w:vertAlign w:val="superscript"/>
        </w:rPr>
        <w:tab/>
      </w:r>
      <w:hyperlink r:id="rId66">
        <w:r>
          <w:rPr>
            <w:color w:val="0000FF"/>
            <w:szCs w:val="20"/>
            <w:u w:val="single"/>
          </w:rPr>
          <w:t>https://apps.who.int/gb/ebwha/pdf_files/WHA66-REC1/A66_R1_ANX4-en.pdf</w:t>
        </w:r>
      </w:hyperlink>
    </w:p>
  </w:footnote>
  <w:footnote w:id="92">
    <w:p w14:paraId="4070BDBA" w14:textId="77777777" w:rsidR="00056AEE" w:rsidRDefault="00A00CB7">
      <w:pPr>
        <w:pStyle w:val="footnote1"/>
      </w:pPr>
      <w:r>
        <w:rPr>
          <w:vertAlign w:val="superscript"/>
        </w:rPr>
        <w:footnoteRef/>
      </w:r>
      <w:r>
        <w:rPr>
          <w:vertAlign w:val="superscript"/>
        </w:rPr>
        <w:tab/>
      </w:r>
      <w:r>
        <w:rPr>
          <w:color w:val="000000"/>
        </w:rPr>
        <w:t>The following types of proposals will NOT be funded: i) proposals with the primary aim of informing the development and/or selection of an intervention for a given context, where the implementation component will be explored in a future project (i.e. standalone feasibility projects);ii) epidemiological cohorts; iii) etiological work, mechanistic, or epidemiological research, unless an essential component of a focused study to develop implementation research approaches; iv) clinical trials, validation studies, or intervention efficacy studies for a new or established pharmacological agent or behavioural intervention.</w:t>
      </w:r>
    </w:p>
  </w:footnote>
  <w:footnote w:id="93">
    <w:p w14:paraId="402B633C" w14:textId="77777777" w:rsidR="00056AEE" w:rsidRDefault="00A00CB7">
      <w:pPr>
        <w:pStyle w:val="footnote1"/>
      </w:pPr>
      <w:r>
        <w:rPr>
          <w:vertAlign w:val="superscript"/>
        </w:rPr>
        <w:footnoteRef/>
      </w:r>
      <w:r>
        <w:rPr>
          <w:vertAlign w:val="superscript"/>
        </w:rPr>
        <w:tab/>
      </w:r>
      <w:hyperlink r:id="rId67" w:anchor="tab=tab_1">
        <w:r>
          <w:rPr>
            <w:color w:val="0000FF"/>
            <w:szCs w:val="20"/>
            <w:u w:val="single"/>
          </w:rPr>
          <w:t>https://www.who.int/health-topics/universal-health-coverage</w:t>
        </w:r>
      </w:hyperlink>
    </w:p>
  </w:footnote>
  <w:footnote w:id="94">
    <w:p w14:paraId="5B8AC664" w14:textId="77777777" w:rsidR="00056AEE" w:rsidRDefault="00A00CB7">
      <w:pPr>
        <w:pStyle w:val="footnote1"/>
      </w:pPr>
      <w:r>
        <w:rPr>
          <w:vertAlign w:val="superscript"/>
        </w:rPr>
        <w:footnoteRef/>
      </w:r>
      <w:r>
        <w:rPr>
          <w:vertAlign w:val="superscript"/>
        </w:rPr>
        <w:tab/>
      </w:r>
      <w:hyperlink r:id="rId68">
        <w:r>
          <w:rPr>
            <w:color w:val="0000FF"/>
            <w:szCs w:val="20"/>
            <w:u w:val="single"/>
          </w:rPr>
          <w:t>https://www.who.int/docs/default-source/documents/gs4dhdaa2a9f352b0445bafbc79ca799dce4d.pdf</w:t>
        </w:r>
      </w:hyperlink>
    </w:p>
  </w:footnote>
  <w:footnote w:id="95">
    <w:p w14:paraId="75E9E31C" w14:textId="77777777" w:rsidR="00056AEE" w:rsidRDefault="00A00CB7">
      <w:pPr>
        <w:pStyle w:val="footnote1"/>
      </w:pPr>
      <w:r>
        <w:rPr>
          <w:vertAlign w:val="superscript"/>
        </w:rPr>
        <w:footnoteRef/>
      </w:r>
      <w:r>
        <w:rPr>
          <w:vertAlign w:val="superscript"/>
        </w:rPr>
        <w:tab/>
      </w:r>
      <w:r>
        <w:rPr>
          <w:color w:val="000000"/>
        </w:rPr>
        <w:t>In the context of the partnership, ‘brain health’ should be interpreted along the lines of the World Health Organisation’s (WHO) definition (‘Brain health is the state of brain functioning across cognitive, sensory, social-emotional, behavioural and motor domains, allowing a person to realise their full potential over the life course, irrespective of the presence or absence of disorders’) and includes both neurological and mental health.</w:t>
      </w:r>
    </w:p>
  </w:footnote>
  <w:footnote w:id="96">
    <w:p w14:paraId="28BAA1E2" w14:textId="77777777" w:rsidR="00056AEE" w:rsidRDefault="00A00CB7">
      <w:pPr>
        <w:pStyle w:val="footnote1"/>
      </w:pPr>
      <w:r>
        <w:rPr>
          <w:vertAlign w:val="superscript"/>
        </w:rPr>
        <w:footnoteRef/>
      </w:r>
      <w:r>
        <w:rPr>
          <w:vertAlign w:val="superscript"/>
        </w:rPr>
        <w:tab/>
      </w:r>
      <w:hyperlink r:id="rId69">
        <w:r>
          <w:rPr>
            <w:color w:val="0000FF"/>
            <w:szCs w:val="20"/>
            <w:u w:val="single"/>
          </w:rPr>
          <w:t>https://health.ec.europa.eu/publications/eu-non-communicable-diseases-ncds-initiative-guidance-document_en</w:t>
        </w:r>
      </w:hyperlink>
    </w:p>
  </w:footnote>
  <w:footnote w:id="97">
    <w:p w14:paraId="1AE1268F" w14:textId="77777777" w:rsidR="00056AEE" w:rsidRDefault="00A00CB7">
      <w:pPr>
        <w:pStyle w:val="footnote1"/>
      </w:pPr>
      <w:r>
        <w:rPr>
          <w:vertAlign w:val="superscript"/>
        </w:rPr>
        <w:footnoteRef/>
      </w:r>
      <w:r>
        <w:rPr>
          <w:vertAlign w:val="superscript"/>
        </w:rPr>
        <w:tab/>
      </w:r>
      <w:hyperlink r:id="rId70">
        <w:r>
          <w:rPr>
            <w:color w:val="0000FF"/>
            <w:szCs w:val="20"/>
            <w:u w:val="single"/>
          </w:rPr>
          <w:t>https://health.ec.europa.eu/publications/comprehensive-approach-mental-health_en</w:t>
        </w:r>
      </w:hyperlink>
    </w:p>
  </w:footnote>
  <w:footnote w:id="98">
    <w:p w14:paraId="4A90EC0E" w14:textId="77777777" w:rsidR="00056AEE" w:rsidRDefault="00A00CB7">
      <w:pPr>
        <w:pStyle w:val="footnote1"/>
      </w:pPr>
      <w:r>
        <w:rPr>
          <w:vertAlign w:val="superscript"/>
        </w:rPr>
        <w:footnoteRef/>
      </w:r>
      <w:r>
        <w:rPr>
          <w:vertAlign w:val="superscript"/>
        </w:rPr>
        <w:tab/>
      </w:r>
      <w:hyperlink r:id="rId71">
        <w:r>
          <w:rPr>
            <w:color w:val="0000FF"/>
            <w:szCs w:val="20"/>
            <w:u w:val="single"/>
          </w:rPr>
          <w:t>https://health.ec.europa.eu/medicinal-products/pharmaceutical-strategy-europe_en</w:t>
        </w:r>
      </w:hyperlink>
    </w:p>
  </w:footnote>
  <w:footnote w:id="99">
    <w:p w14:paraId="34BCA017" w14:textId="77777777" w:rsidR="00056AEE" w:rsidRDefault="00A00CB7">
      <w:pPr>
        <w:pStyle w:val="footnote1"/>
      </w:pPr>
      <w:r>
        <w:rPr>
          <w:vertAlign w:val="superscript"/>
        </w:rPr>
        <w:footnoteRef/>
      </w:r>
      <w:r>
        <w:rPr>
          <w:vertAlign w:val="superscript"/>
        </w:rPr>
        <w:tab/>
      </w:r>
      <w:hyperlink r:id="rId72">
        <w:r>
          <w:rPr>
            <w:color w:val="0000FF"/>
            <w:szCs w:val="20"/>
            <w:u w:val="single"/>
          </w:rPr>
          <w:t>https://eur-lex.europa.eu/legal-content/EN/TXT/PDF/?uri=CELEX:32021R0522</w:t>
        </w:r>
      </w:hyperlink>
    </w:p>
  </w:footnote>
  <w:footnote w:id="100">
    <w:p w14:paraId="43566560" w14:textId="77777777" w:rsidR="00056AEE" w:rsidRDefault="00A00CB7">
      <w:pPr>
        <w:pStyle w:val="footnote1"/>
      </w:pPr>
      <w:r>
        <w:rPr>
          <w:vertAlign w:val="superscript"/>
        </w:rPr>
        <w:footnoteRef/>
      </w:r>
      <w:r>
        <w:rPr>
          <w:vertAlign w:val="superscript"/>
        </w:rPr>
        <w:tab/>
      </w:r>
      <w:hyperlink r:id="rId73">
        <w:r>
          <w:rPr>
            <w:color w:val="0000FF"/>
            <w:szCs w:val="20"/>
            <w:u w:val="single"/>
          </w:rPr>
          <w:t>https://ec.europa.eu/social/main.jsp?langId=en&amp;catId=89&amp;furtherNews=yes&amp;newsId=10382</w:t>
        </w:r>
      </w:hyperlink>
    </w:p>
  </w:footnote>
  <w:footnote w:id="101">
    <w:p w14:paraId="647BF79A"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102">
    <w:p w14:paraId="02D6C616" w14:textId="77777777" w:rsidR="00056AEE" w:rsidRDefault="00A00CB7">
      <w:pPr>
        <w:pStyle w:val="footnote1"/>
      </w:pPr>
      <w:r>
        <w:rPr>
          <w:vertAlign w:val="superscript"/>
        </w:rPr>
        <w:footnoteRef/>
      </w:r>
      <w:r>
        <w:rPr>
          <w:vertAlign w:val="superscript"/>
        </w:rPr>
        <w:tab/>
      </w:r>
      <w:hyperlink r:id="rId74">
        <w:r>
          <w:rPr>
            <w:color w:val="0000FF"/>
            <w:szCs w:val="20"/>
            <w:u w:val="single"/>
          </w:rPr>
          <w:t>https://health.ec.europa.eu/ehealth-digital-health-and-care/european-health-data-space_en</w:t>
        </w:r>
      </w:hyperlink>
    </w:p>
  </w:footnote>
  <w:footnote w:id="103">
    <w:p w14:paraId="0479E621" w14:textId="77777777" w:rsidR="00056AEE" w:rsidRDefault="00A00CB7">
      <w:pPr>
        <w:pStyle w:val="footnote1"/>
      </w:pPr>
      <w:r>
        <w:rPr>
          <w:vertAlign w:val="superscript"/>
        </w:rPr>
        <w:footnoteRef/>
      </w:r>
      <w:r>
        <w:rPr>
          <w:vertAlign w:val="superscript"/>
        </w:rPr>
        <w:tab/>
      </w:r>
      <w:hyperlink r:id="rId75">
        <w:r>
          <w:rPr>
            <w:color w:val="0000FF"/>
            <w:szCs w:val="20"/>
            <w:u w:val="single"/>
          </w:rPr>
          <w:t>https://www.brainhealth-partnership.eu</w:t>
        </w:r>
      </w:hyperlink>
    </w:p>
  </w:footnote>
  <w:footnote w:id="104">
    <w:p w14:paraId="537E32F1"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105">
    <w:p w14:paraId="2B7525CE" w14:textId="77777777" w:rsidR="00056AEE" w:rsidRDefault="00A00CB7">
      <w:pPr>
        <w:pStyle w:val="footnote1"/>
      </w:pPr>
      <w:r>
        <w:rPr>
          <w:vertAlign w:val="superscript"/>
        </w:rPr>
        <w:footnoteRef/>
      </w:r>
      <w:r>
        <w:rPr>
          <w:vertAlign w:val="superscript"/>
        </w:rPr>
        <w:tab/>
      </w:r>
      <w:hyperlink r:id="rId76">
        <w:r>
          <w:rPr>
            <w:color w:val="0000FF"/>
            <w:szCs w:val="20"/>
            <w:u w:val="single"/>
          </w:rPr>
          <w:t>https://www.neurodegenerationresearch.eu</w:t>
        </w:r>
      </w:hyperlink>
    </w:p>
  </w:footnote>
  <w:footnote w:id="106">
    <w:p w14:paraId="4838075C" w14:textId="77777777" w:rsidR="00056AEE" w:rsidRDefault="00A00CB7">
      <w:pPr>
        <w:pStyle w:val="footnote1"/>
      </w:pPr>
      <w:r>
        <w:rPr>
          <w:vertAlign w:val="superscript"/>
        </w:rPr>
        <w:footnoteRef/>
      </w:r>
      <w:r>
        <w:rPr>
          <w:vertAlign w:val="superscript"/>
        </w:rPr>
        <w:tab/>
      </w:r>
      <w:hyperlink r:id="rId77">
        <w:r>
          <w:rPr>
            <w:color w:val="0000FF"/>
            <w:szCs w:val="20"/>
            <w:u w:val="single"/>
          </w:rPr>
          <w:t>https://www.neuron-eranet.eu</w:t>
        </w:r>
      </w:hyperlink>
    </w:p>
  </w:footnote>
  <w:footnote w:id="107">
    <w:p w14:paraId="287F1EC1" w14:textId="77777777" w:rsidR="00056AEE" w:rsidRDefault="00A00CB7">
      <w:pPr>
        <w:pStyle w:val="footnote1"/>
      </w:pPr>
      <w:r>
        <w:rPr>
          <w:vertAlign w:val="superscript"/>
        </w:rPr>
        <w:footnoteRef/>
      </w:r>
      <w:r>
        <w:rPr>
          <w:vertAlign w:val="superscript"/>
        </w:rPr>
        <w:tab/>
      </w:r>
      <w:hyperlink r:id="rId78">
        <w:r>
          <w:rPr>
            <w:color w:val="0000FF"/>
            <w:szCs w:val="20"/>
            <w:u w:val="single"/>
          </w:rPr>
          <w:t>https://www.humanbrainproject.eu/en</w:t>
        </w:r>
      </w:hyperlink>
    </w:p>
  </w:footnote>
  <w:footnote w:id="108">
    <w:p w14:paraId="2FCB8CC9" w14:textId="77777777" w:rsidR="00056AEE" w:rsidRDefault="00A00CB7">
      <w:pPr>
        <w:pStyle w:val="footnote1"/>
      </w:pPr>
      <w:r>
        <w:rPr>
          <w:vertAlign w:val="superscript"/>
        </w:rPr>
        <w:footnoteRef/>
      </w:r>
      <w:r>
        <w:rPr>
          <w:vertAlign w:val="superscript"/>
        </w:rPr>
        <w:tab/>
      </w:r>
      <w:hyperlink r:id="rId79">
        <w:r>
          <w:rPr>
            <w:color w:val="0000FF"/>
            <w:szCs w:val="20"/>
            <w:u w:val="single"/>
          </w:rPr>
          <w:t>https://ebrains.eu</w:t>
        </w:r>
      </w:hyperlink>
    </w:p>
  </w:footnote>
  <w:footnote w:id="109">
    <w:p w14:paraId="2EE4B71D" w14:textId="77777777" w:rsidR="00056AEE" w:rsidRDefault="00A00CB7">
      <w:pPr>
        <w:pStyle w:val="footnote1"/>
      </w:pPr>
      <w:r>
        <w:rPr>
          <w:vertAlign w:val="superscript"/>
        </w:rPr>
        <w:footnoteRef/>
      </w:r>
      <w:r>
        <w:rPr>
          <w:vertAlign w:val="superscript"/>
        </w:rPr>
        <w:tab/>
      </w:r>
      <w:hyperlink r:id="rId80">
        <w:r>
          <w:rPr>
            <w:color w:val="0000FF"/>
            <w:szCs w:val="20"/>
            <w:u w:val="single"/>
          </w:rPr>
          <w:t>https://www.brainhealth-partnership.eu</w:t>
        </w:r>
      </w:hyperlink>
    </w:p>
  </w:footnote>
  <w:footnote w:id="110">
    <w:p w14:paraId="1751A0F0" w14:textId="77777777" w:rsidR="00056AEE" w:rsidRDefault="00A00CB7">
      <w:pPr>
        <w:pStyle w:val="footnote1"/>
      </w:pPr>
      <w:r>
        <w:rPr>
          <w:vertAlign w:val="superscript"/>
        </w:rPr>
        <w:footnoteRef/>
      </w:r>
      <w:r>
        <w:rPr>
          <w:vertAlign w:val="superscript"/>
        </w:rPr>
        <w:tab/>
      </w:r>
      <w:hyperlink r:id="rId81">
        <w:r>
          <w:rPr>
            <w:color w:val="0000FF"/>
            <w:szCs w:val="20"/>
            <w:u w:val="single"/>
          </w:rPr>
          <w:t>https://www.ebra.eu</w:t>
        </w:r>
      </w:hyperlink>
    </w:p>
  </w:footnote>
  <w:footnote w:id="111">
    <w:p w14:paraId="3197E304" w14:textId="77777777" w:rsidR="00056AEE" w:rsidRDefault="00A00CB7">
      <w:pPr>
        <w:pStyle w:val="footnote1"/>
      </w:pPr>
      <w:r>
        <w:rPr>
          <w:vertAlign w:val="superscript"/>
        </w:rPr>
        <w:footnoteRef/>
      </w:r>
      <w:r>
        <w:rPr>
          <w:vertAlign w:val="superscript"/>
        </w:rPr>
        <w:tab/>
      </w:r>
      <w:hyperlink r:id="rId82">
        <w:r>
          <w:rPr>
            <w:color w:val="0000FF"/>
            <w:szCs w:val="20"/>
            <w:u w:val="single"/>
          </w:rPr>
          <w:t>https://research-and-innovation.ec.europa.eu/document/download/846561ef-7696-4957-802a-69d19ea6b739_en?filename=ec_rtd_coherence-synergies-of-ep-under-he.pdf</w:t>
        </w:r>
      </w:hyperlink>
    </w:p>
  </w:footnote>
  <w:footnote w:id="112">
    <w:p w14:paraId="2AECE366"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113">
    <w:p w14:paraId="5CDC9CD1" w14:textId="77777777" w:rsidR="00056AEE" w:rsidRDefault="00A00CB7">
      <w:pPr>
        <w:pStyle w:val="footnote1"/>
      </w:pPr>
      <w:r>
        <w:rPr>
          <w:vertAlign w:val="superscript"/>
        </w:rPr>
        <w:footnoteRef/>
      </w:r>
      <w:r>
        <w:rPr>
          <w:vertAlign w:val="superscript"/>
        </w:rPr>
        <w:tab/>
      </w:r>
      <w:r>
        <w:rPr>
          <w:color w:val="000000"/>
        </w:rPr>
        <w:t xml:space="preserve">In this text, IICS means a clinical study in which a health technology (e.g. a medicinal product, a medical device, an </w:t>
      </w:r>
      <w:r>
        <w:rPr>
          <w:i/>
          <w:color w:val="000000"/>
        </w:rPr>
        <w:t>in vitro</w:t>
      </w:r>
      <w:r>
        <w:rPr>
          <w:color w:val="000000"/>
        </w:rPr>
        <w:t xml:space="preserve"> diagnostic medical device, a surgical or other medical intervention) is tested in humans, independently from commercial interest and for public health benefits.</w:t>
      </w:r>
    </w:p>
  </w:footnote>
  <w:footnote w:id="114">
    <w:p w14:paraId="1678D2D3" w14:textId="77777777" w:rsidR="00056AEE" w:rsidRDefault="00A00CB7">
      <w:pPr>
        <w:pStyle w:val="footnote1"/>
      </w:pPr>
      <w:r>
        <w:rPr>
          <w:vertAlign w:val="superscript"/>
        </w:rPr>
        <w:footnoteRef/>
      </w:r>
      <w:r>
        <w:rPr>
          <w:vertAlign w:val="superscript"/>
        </w:rPr>
        <w:tab/>
      </w:r>
      <w:r>
        <w:rPr>
          <w:color w:val="000000"/>
        </w:rPr>
        <w:t>The Pharmaceutical Strategy for Europe refers to including representative participation of population groups, for example gender and age groups, that are likely to use the medicinal product investigated in the clinical trials to ensure appropriate safety and efficacy.</w:t>
      </w:r>
    </w:p>
  </w:footnote>
  <w:footnote w:id="115">
    <w:p w14:paraId="343C9469" w14:textId="77777777" w:rsidR="00056AEE" w:rsidRDefault="00A00CB7">
      <w:pPr>
        <w:pStyle w:val="footnote1"/>
      </w:pPr>
      <w:r>
        <w:rPr>
          <w:vertAlign w:val="superscript"/>
        </w:rPr>
        <w:footnoteRef/>
      </w:r>
      <w:r>
        <w:rPr>
          <w:vertAlign w:val="superscript"/>
        </w:rPr>
        <w:tab/>
      </w:r>
      <w:hyperlink r:id="rId83">
        <w:r>
          <w:rPr>
            <w:color w:val="0000FF"/>
            <w:szCs w:val="20"/>
            <w:u w:val="single"/>
          </w:rPr>
          <w:t>https://era4health.eu</w:t>
        </w:r>
      </w:hyperlink>
    </w:p>
  </w:footnote>
  <w:footnote w:id="116">
    <w:p w14:paraId="13165CFC" w14:textId="77777777" w:rsidR="00056AEE" w:rsidRDefault="00A00CB7">
      <w:pPr>
        <w:pStyle w:val="footnote1"/>
      </w:pPr>
      <w:r>
        <w:rPr>
          <w:vertAlign w:val="superscript"/>
        </w:rPr>
        <w:footnoteRef/>
      </w:r>
      <w:r>
        <w:rPr>
          <w:vertAlign w:val="superscript"/>
        </w:rPr>
        <w:tab/>
      </w:r>
      <w:r>
        <w:rPr>
          <w:color w:val="000000"/>
        </w:rPr>
        <w:t>Wide definition of health intervention: medicinal products, medical devices, surgical or other invasive procedures, other medical interventions including preventative measures.</w:t>
      </w:r>
    </w:p>
  </w:footnote>
  <w:footnote w:id="117">
    <w:p w14:paraId="5BF9E50B" w14:textId="77777777" w:rsidR="00056AEE" w:rsidRDefault="00A00CB7">
      <w:pPr>
        <w:pStyle w:val="footnote1"/>
      </w:pPr>
      <w:r>
        <w:rPr>
          <w:vertAlign w:val="superscript"/>
        </w:rPr>
        <w:footnoteRef/>
      </w:r>
      <w:r>
        <w:rPr>
          <w:vertAlign w:val="superscript"/>
        </w:rPr>
        <w:tab/>
      </w:r>
      <w:hyperlink r:id="rId84">
        <w:r>
          <w:rPr>
            <w:color w:val="0000FF"/>
            <w:szCs w:val="20"/>
            <w:u w:val="single"/>
          </w:rPr>
          <w:t>https://www.eppermed.eu</w:t>
        </w:r>
      </w:hyperlink>
    </w:p>
  </w:footnote>
  <w:footnote w:id="118">
    <w:p w14:paraId="1CD4CB5D" w14:textId="77777777" w:rsidR="00056AEE" w:rsidRDefault="00A00CB7">
      <w:pPr>
        <w:pStyle w:val="footnote1"/>
      </w:pPr>
      <w:r>
        <w:rPr>
          <w:vertAlign w:val="superscript"/>
        </w:rPr>
        <w:footnoteRef/>
      </w:r>
      <w:r>
        <w:rPr>
          <w:vertAlign w:val="superscript"/>
        </w:rPr>
        <w:tab/>
      </w:r>
      <w:hyperlink r:id="rId85">
        <w:r>
          <w:rPr>
            <w:color w:val="0000FF"/>
            <w:szCs w:val="20"/>
            <w:u w:val="single"/>
          </w:rPr>
          <w:t>https://ecrin.org</w:t>
        </w:r>
      </w:hyperlink>
    </w:p>
  </w:footnote>
  <w:footnote w:id="119">
    <w:p w14:paraId="2A8A65A2" w14:textId="77777777" w:rsidR="00056AEE" w:rsidRDefault="00A00CB7">
      <w:pPr>
        <w:pStyle w:val="footnote1"/>
      </w:pPr>
      <w:r>
        <w:rPr>
          <w:vertAlign w:val="superscript"/>
        </w:rPr>
        <w:footnoteRef/>
      </w:r>
      <w:r>
        <w:rPr>
          <w:vertAlign w:val="superscript"/>
        </w:rPr>
        <w:tab/>
      </w:r>
      <w:hyperlink r:id="rId86">
        <w:r>
          <w:rPr>
            <w:color w:val="0000FF"/>
            <w:szCs w:val="20"/>
            <w:u w:val="single"/>
          </w:rPr>
          <w:t>https://www.bbmri-eric.eu</w:t>
        </w:r>
      </w:hyperlink>
    </w:p>
  </w:footnote>
  <w:footnote w:id="120">
    <w:p w14:paraId="1A69D032" w14:textId="77777777" w:rsidR="00056AEE" w:rsidRDefault="00A00CB7">
      <w:pPr>
        <w:pStyle w:val="footnote1"/>
      </w:pPr>
      <w:r>
        <w:rPr>
          <w:vertAlign w:val="superscript"/>
        </w:rPr>
        <w:footnoteRef/>
      </w:r>
      <w:r>
        <w:rPr>
          <w:vertAlign w:val="superscript"/>
        </w:rPr>
        <w:tab/>
      </w:r>
      <w:r>
        <w:rPr>
          <w:color w:val="000000"/>
        </w:rPr>
        <w:t>Communication from the European Commission on the European care strategy, COM(2022) 440, 7.9.2022</w:t>
      </w:r>
    </w:p>
  </w:footnote>
  <w:footnote w:id="121">
    <w:p w14:paraId="6864C78F" w14:textId="77777777" w:rsidR="00056AEE" w:rsidRDefault="00A00CB7">
      <w:pPr>
        <w:pStyle w:val="footnote1"/>
      </w:pPr>
      <w:r>
        <w:rPr>
          <w:vertAlign w:val="superscript"/>
        </w:rPr>
        <w:footnoteRef/>
      </w:r>
      <w:r>
        <w:rPr>
          <w:vertAlign w:val="superscript"/>
        </w:rPr>
        <w:tab/>
      </w:r>
      <w:r>
        <w:rPr>
          <w:color w:val="000000"/>
        </w:rPr>
        <w:t>Communication from the European Commission on enabling the digital transformation of health and care in the Digital Single Market; empowering citizens and building a healthier society, COM(2018) 233, 25.4.2018</w:t>
      </w:r>
    </w:p>
  </w:footnote>
  <w:footnote w:id="122">
    <w:p w14:paraId="7D489808" w14:textId="77777777" w:rsidR="00056AEE" w:rsidRDefault="00A00CB7">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87">
        <w:r>
          <w:rPr>
            <w:color w:val="0000FF"/>
            <w:szCs w:val="20"/>
            <w:u w:val="single"/>
          </w:rPr>
          <w:t>https://digital-strategy.ec.europa.eu/en/policies/european-approach-artificial-intelligence</w:t>
        </w:r>
      </w:hyperlink>
      <w:r>
        <w:rPr>
          <w:color w:val="000000"/>
        </w:rPr>
        <w:t xml:space="preserve">; </w:t>
      </w:r>
      <w:hyperlink r:id="rId88">
        <w:r>
          <w:rPr>
            <w:color w:val="0000FF"/>
            <w:szCs w:val="20"/>
            <w:u w:val="single"/>
          </w:rPr>
          <w:t>https://eur-lex.europa.eu/legal-content/EN/TXT/?uri=COM:2018:237:FIN</w:t>
        </w:r>
      </w:hyperlink>
    </w:p>
  </w:footnote>
  <w:footnote w:id="123">
    <w:p w14:paraId="64FD5800" w14:textId="77777777" w:rsidR="00056AEE" w:rsidRDefault="00A00CB7">
      <w:pPr>
        <w:pStyle w:val="footnote1"/>
      </w:pPr>
      <w:r>
        <w:rPr>
          <w:vertAlign w:val="superscript"/>
        </w:rPr>
        <w:footnoteRef/>
      </w:r>
      <w:r>
        <w:rPr>
          <w:vertAlign w:val="superscript"/>
        </w:rPr>
        <w:tab/>
      </w:r>
      <w:r>
        <w:rPr>
          <w:color w:val="000000"/>
        </w:rPr>
        <w:t xml:space="preserve">Communication on boosting startups and innovation in trustworthy artificial intelligence | Shaping Europe’s digital future (europa.eu): </w:t>
      </w:r>
      <w:hyperlink r:id="rId89">
        <w:r>
          <w:rPr>
            <w:color w:val="0000FF"/>
            <w:szCs w:val="20"/>
            <w:u w:val="single"/>
          </w:rPr>
          <w:t>https://digital-strategy.ec.europa.eu/en/library/communication-boosting-startups-and-innovation-trustworthy-artificial-intelligence</w:t>
        </w:r>
      </w:hyperlink>
    </w:p>
  </w:footnote>
  <w:footnote w:id="124">
    <w:p w14:paraId="6625E3D2" w14:textId="77777777" w:rsidR="00056AEE" w:rsidRDefault="00A00CB7">
      <w:pPr>
        <w:pStyle w:val="footnote1"/>
      </w:pPr>
      <w:r>
        <w:rPr>
          <w:vertAlign w:val="superscript"/>
        </w:rPr>
        <w:footnoteRef/>
      </w:r>
      <w:r>
        <w:rPr>
          <w:vertAlign w:val="superscript"/>
        </w:rPr>
        <w:tab/>
      </w:r>
      <w:r>
        <w:rPr>
          <w:color w:val="000000"/>
        </w:rPr>
        <w:t xml:space="preserve">Commission Communication on Forging a climate-resilient Europe - the new EU Strategy on Adaptation to Climate Change COM(2021) 82 final: </w:t>
      </w:r>
      <w:hyperlink r:id="rId90">
        <w:r>
          <w:rPr>
            <w:color w:val="0000FF"/>
            <w:szCs w:val="20"/>
            <w:u w:val="single"/>
          </w:rPr>
          <w:t>https://eur-lex.europa.eu/legal-content/EN/TXT/PDF/?uri=CELEX:52021DC0082</w:t>
        </w:r>
      </w:hyperlink>
    </w:p>
  </w:footnote>
  <w:footnote w:id="125">
    <w:p w14:paraId="56A1D7BD" w14:textId="77777777" w:rsidR="00056AEE" w:rsidRDefault="00A00CB7">
      <w:pPr>
        <w:pStyle w:val="footnote1"/>
      </w:pPr>
      <w:r>
        <w:rPr>
          <w:vertAlign w:val="superscript"/>
        </w:rPr>
        <w:footnoteRef/>
      </w:r>
      <w:r>
        <w:rPr>
          <w:vertAlign w:val="superscript"/>
        </w:rPr>
        <w:tab/>
      </w:r>
      <w:r>
        <w:rPr>
          <w:color w:val="000000"/>
        </w:rPr>
        <w:t>Communication from the European Commission on Europe’s Beating Cancer Plan, COM(2021) 44, 3.2.2021</w:t>
      </w:r>
    </w:p>
  </w:footnote>
  <w:footnote w:id="126">
    <w:p w14:paraId="19DE4F72" w14:textId="77777777" w:rsidR="00056AEE" w:rsidRDefault="00A00CB7">
      <w:pPr>
        <w:pStyle w:val="footnote1"/>
      </w:pPr>
      <w:r>
        <w:rPr>
          <w:vertAlign w:val="superscript"/>
        </w:rPr>
        <w:footnoteRef/>
      </w:r>
      <w:r>
        <w:rPr>
          <w:vertAlign w:val="superscript"/>
        </w:rPr>
        <w:tab/>
      </w:r>
      <w:r>
        <w:rPr>
          <w:color w:val="000000"/>
        </w:rPr>
        <w:t xml:space="preserve">Ethics Guidelines for Trustworthy AI, published by the European Commission’s High Level Expert Group on Artificial Intelligence: </w:t>
      </w:r>
      <w:hyperlink r:id="rId91">
        <w:r>
          <w:rPr>
            <w:color w:val="0000FF"/>
            <w:szCs w:val="20"/>
            <w:u w:val="single"/>
          </w:rPr>
          <w:t>https://ec.europa.eu/futurium/en/ai-alliance-consultation.1.html</w:t>
        </w:r>
      </w:hyperlink>
    </w:p>
  </w:footnote>
  <w:footnote w:id="127">
    <w:p w14:paraId="009A7D78" w14:textId="77777777" w:rsidR="00056AEE" w:rsidRDefault="00A00CB7">
      <w:pPr>
        <w:pStyle w:val="footnote1"/>
      </w:pPr>
      <w:r>
        <w:rPr>
          <w:vertAlign w:val="superscript"/>
        </w:rPr>
        <w:footnoteRef/>
      </w:r>
      <w:r>
        <w:rPr>
          <w:vertAlign w:val="superscript"/>
        </w:rPr>
        <w:tab/>
      </w:r>
      <w:r>
        <w:rPr>
          <w:color w:val="000000"/>
        </w:rPr>
        <w:t xml:space="preserve">Guidelines on the responsible use of generative AI in research developed by the European Research Area Forum: </w:t>
      </w:r>
      <w:hyperlink r:id="rId92">
        <w:r>
          <w:rPr>
            <w:color w:val="0000FF"/>
            <w:szCs w:val="20"/>
            <w:u w:val="single"/>
          </w:rPr>
          <w:t>https://research-and-innovation.ec.europa.eu/news/all-research-and-innovation-news/guidelines-responsible-use-generative-ai-research-developed-european-research-area-forum-2024-03-20_en</w:t>
        </w:r>
      </w:hyperlink>
    </w:p>
  </w:footnote>
  <w:footnote w:id="128">
    <w:p w14:paraId="41CC08C9"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129">
    <w:p w14:paraId="4B79D698" w14:textId="77777777" w:rsidR="00056AEE" w:rsidRDefault="00A00CB7">
      <w:pPr>
        <w:pStyle w:val="footnote1"/>
      </w:pPr>
      <w:r>
        <w:rPr>
          <w:vertAlign w:val="superscript"/>
        </w:rPr>
        <w:footnoteRef/>
      </w:r>
      <w:r>
        <w:rPr>
          <w:vertAlign w:val="superscript"/>
        </w:rPr>
        <w:tab/>
      </w:r>
      <w:r>
        <w:rPr>
          <w:color w:val="000000"/>
        </w:rPr>
        <w:t xml:space="preserve">General Data Protection Regulation: </w:t>
      </w:r>
      <w:hyperlink r:id="rId93">
        <w:r>
          <w:rPr>
            <w:color w:val="0000FF"/>
            <w:szCs w:val="20"/>
            <w:u w:val="single"/>
          </w:rPr>
          <w:t>https://gdpr-info.eu</w:t>
        </w:r>
      </w:hyperlink>
    </w:p>
  </w:footnote>
  <w:footnote w:id="130">
    <w:p w14:paraId="1C2A66C7" w14:textId="77777777" w:rsidR="00056AEE" w:rsidRDefault="00A00CB7">
      <w:pPr>
        <w:pStyle w:val="footnote1"/>
      </w:pPr>
      <w:r>
        <w:rPr>
          <w:vertAlign w:val="superscript"/>
        </w:rPr>
        <w:footnoteRef/>
      </w:r>
      <w:r>
        <w:rPr>
          <w:vertAlign w:val="superscript"/>
        </w:rPr>
        <w:tab/>
      </w:r>
      <w:hyperlink r:id="rId94">
        <w:r>
          <w:rPr>
            <w:color w:val="0000FF"/>
            <w:szCs w:val="20"/>
            <w:u w:val="single"/>
          </w:rPr>
          <w:t>https://www.ejprarediseases.org/what-is-the-virtual-platform</w:t>
        </w:r>
      </w:hyperlink>
    </w:p>
  </w:footnote>
  <w:footnote w:id="131">
    <w:p w14:paraId="21B5A6CD" w14:textId="77777777" w:rsidR="00056AEE" w:rsidRDefault="00A00CB7">
      <w:pPr>
        <w:pStyle w:val="footnote1"/>
      </w:pPr>
      <w:r>
        <w:rPr>
          <w:vertAlign w:val="superscript"/>
        </w:rPr>
        <w:footnoteRef/>
      </w:r>
      <w:r>
        <w:rPr>
          <w:vertAlign w:val="superscript"/>
        </w:rPr>
        <w:tab/>
      </w:r>
      <w:hyperlink r:id="rId95">
        <w:r>
          <w:rPr>
            <w:color w:val="0000FF"/>
            <w:szCs w:val="20"/>
            <w:u w:val="single"/>
          </w:rPr>
          <w:t>https://health.ec.europa.eu/ehealth-digital-health-and-care/european-health-data-space_en</w:t>
        </w:r>
      </w:hyperlink>
    </w:p>
  </w:footnote>
  <w:footnote w:id="132">
    <w:p w14:paraId="50CCDD64" w14:textId="77777777" w:rsidR="00056AEE" w:rsidRDefault="00A00CB7">
      <w:pPr>
        <w:pStyle w:val="footnote1"/>
      </w:pPr>
      <w:r>
        <w:rPr>
          <w:vertAlign w:val="superscript"/>
        </w:rPr>
        <w:footnoteRef/>
      </w:r>
      <w:r>
        <w:rPr>
          <w:vertAlign w:val="superscript"/>
        </w:rPr>
        <w:tab/>
      </w:r>
      <w:hyperlink r:id="rId96">
        <w:r>
          <w:rPr>
            <w:color w:val="0000FF"/>
            <w:szCs w:val="20"/>
            <w:u w:val="single"/>
          </w:rPr>
          <w:t>https://gdi.onemilliongenomes.eu</w:t>
        </w:r>
      </w:hyperlink>
    </w:p>
  </w:footnote>
  <w:footnote w:id="133">
    <w:p w14:paraId="5E5613C7" w14:textId="77777777" w:rsidR="00056AEE" w:rsidRDefault="00A00CB7">
      <w:pPr>
        <w:pStyle w:val="footnote1"/>
      </w:pPr>
      <w:r>
        <w:rPr>
          <w:vertAlign w:val="superscript"/>
        </w:rPr>
        <w:footnoteRef/>
      </w:r>
      <w:r>
        <w:rPr>
          <w:vertAlign w:val="superscript"/>
        </w:rPr>
        <w:tab/>
      </w:r>
      <w:hyperlink r:id="rId97">
        <w:r>
          <w:rPr>
            <w:color w:val="0000FF"/>
            <w:szCs w:val="20"/>
            <w:u w:val="single"/>
          </w:rPr>
          <w:t>https://cancerimage.eu</w:t>
        </w:r>
      </w:hyperlink>
    </w:p>
  </w:footnote>
  <w:footnote w:id="134">
    <w:p w14:paraId="274199F4" w14:textId="77777777" w:rsidR="00056AEE" w:rsidRDefault="00A00CB7">
      <w:pPr>
        <w:pStyle w:val="footnote1"/>
      </w:pPr>
      <w:r>
        <w:rPr>
          <w:vertAlign w:val="superscript"/>
        </w:rPr>
        <w:footnoteRef/>
      </w:r>
      <w:r>
        <w:rPr>
          <w:vertAlign w:val="superscript"/>
        </w:rPr>
        <w:tab/>
      </w:r>
      <w:hyperlink r:id="rId98">
        <w:r>
          <w:rPr>
            <w:color w:val="0000FF"/>
            <w:szCs w:val="20"/>
            <w:u w:val="single"/>
          </w:rPr>
          <w:t>https://research-and-innovation.ec.europa.eu/strategy/strategy-2020-2024/our-digital-future/open-science/european-open-science-cloud-eosc_en</w:t>
        </w:r>
      </w:hyperlink>
    </w:p>
  </w:footnote>
  <w:footnote w:id="135">
    <w:p w14:paraId="1ABBE542" w14:textId="77777777" w:rsidR="00056AEE" w:rsidRDefault="00A00CB7">
      <w:pPr>
        <w:pStyle w:val="footnote1"/>
      </w:pPr>
      <w:r>
        <w:rPr>
          <w:vertAlign w:val="superscript"/>
        </w:rPr>
        <w:footnoteRef/>
      </w:r>
      <w:r>
        <w:rPr>
          <w:vertAlign w:val="superscript"/>
        </w:rPr>
        <w:tab/>
      </w:r>
      <w:hyperlink r:id="rId99">
        <w:r>
          <w:rPr>
            <w:color w:val="0000FF"/>
            <w:szCs w:val="20"/>
            <w:u w:val="single"/>
          </w:rPr>
          <w:t>https://www.ebrains.eu</w:t>
        </w:r>
      </w:hyperlink>
    </w:p>
  </w:footnote>
  <w:footnote w:id="136">
    <w:p w14:paraId="3556D09F" w14:textId="77777777" w:rsidR="00056AEE" w:rsidRDefault="00A00CB7">
      <w:pPr>
        <w:pStyle w:val="footnote1"/>
      </w:pPr>
      <w:r>
        <w:rPr>
          <w:vertAlign w:val="superscript"/>
        </w:rPr>
        <w:footnoteRef/>
      </w:r>
      <w:r>
        <w:rPr>
          <w:vertAlign w:val="superscript"/>
        </w:rPr>
        <w:tab/>
      </w:r>
      <w:hyperlink r:id="rId100">
        <w:r>
          <w:rPr>
            <w:color w:val="0000FF"/>
            <w:szCs w:val="20"/>
            <w:u w:val="single"/>
          </w:rPr>
          <w:t>https://digital-strategy.ec.europa.eu/en/policies/ai-factories</w:t>
        </w:r>
      </w:hyperlink>
    </w:p>
  </w:footnote>
  <w:footnote w:id="137">
    <w:p w14:paraId="5E8E2DB7" w14:textId="77777777" w:rsidR="00056AEE" w:rsidRDefault="00A00CB7">
      <w:pPr>
        <w:pStyle w:val="footnote1"/>
      </w:pPr>
      <w:r>
        <w:rPr>
          <w:vertAlign w:val="superscript"/>
        </w:rPr>
        <w:footnoteRef/>
      </w:r>
      <w:r>
        <w:rPr>
          <w:vertAlign w:val="superscript"/>
        </w:rPr>
        <w:tab/>
      </w:r>
      <w:r>
        <w:rPr>
          <w:color w:val="000000"/>
        </w:rPr>
        <w:t xml:space="preserve">Commission Communication on Building the future with nature: Boosting Biotechnology and Biomanufacturing in the EU; COM(2024) 137 final: </w:t>
      </w:r>
      <w:hyperlink r:id="rId101">
        <w:r>
          <w:rPr>
            <w:color w:val="0000FF"/>
            <w:szCs w:val="20"/>
            <w:u w:val="single"/>
          </w:rPr>
          <w:t>https://research-and-innovation.ec.europa.eu/document/download/47554adc-dffc-411b-8cd6-b52417514cb3_en</w:t>
        </w:r>
      </w:hyperlink>
    </w:p>
  </w:footnote>
  <w:footnote w:id="138">
    <w:p w14:paraId="0F7CAA0A" w14:textId="77777777" w:rsidR="00056AEE" w:rsidRDefault="00A00CB7">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102">
        <w:r>
          <w:rPr>
            <w:color w:val="0000FF"/>
            <w:szCs w:val="20"/>
            <w:u w:val="single"/>
          </w:rPr>
          <w:t>https://digital-strategy.ec.europa.eu/en/policies/european-approach-artificial-intelligence</w:t>
        </w:r>
      </w:hyperlink>
      <w:r>
        <w:rPr>
          <w:color w:val="000000"/>
        </w:rPr>
        <w:t xml:space="preserve">; </w:t>
      </w:r>
      <w:hyperlink r:id="rId103">
        <w:r>
          <w:rPr>
            <w:color w:val="0000FF"/>
            <w:szCs w:val="20"/>
            <w:u w:val="single"/>
          </w:rPr>
          <w:t>https://eur-lex.europa.eu/legal-content/EN/TXT/?uri=COM:2018:237:FIN</w:t>
        </w:r>
      </w:hyperlink>
    </w:p>
  </w:footnote>
  <w:footnote w:id="139">
    <w:p w14:paraId="3C93EBF8" w14:textId="77777777" w:rsidR="00056AEE" w:rsidRDefault="00A00CB7">
      <w:pPr>
        <w:pStyle w:val="footnote1"/>
      </w:pPr>
      <w:r>
        <w:rPr>
          <w:vertAlign w:val="superscript"/>
        </w:rPr>
        <w:footnoteRef/>
      </w:r>
      <w:r>
        <w:rPr>
          <w:vertAlign w:val="superscript"/>
        </w:rPr>
        <w:tab/>
      </w:r>
      <w:r>
        <w:rPr>
          <w:color w:val="000000"/>
        </w:rPr>
        <w:t>Commission Communication on the digital transformation of health and care; COM(2018) 233 final</w:t>
      </w:r>
    </w:p>
  </w:footnote>
  <w:footnote w:id="140">
    <w:p w14:paraId="11D054A0" w14:textId="77777777" w:rsidR="00056AEE" w:rsidRDefault="00A00CB7">
      <w:pPr>
        <w:pStyle w:val="footnote1"/>
      </w:pPr>
      <w:r>
        <w:rPr>
          <w:vertAlign w:val="superscript"/>
        </w:rPr>
        <w:footnoteRef/>
      </w:r>
      <w:r>
        <w:rPr>
          <w:vertAlign w:val="superscript"/>
        </w:rPr>
        <w:tab/>
      </w:r>
      <w:r>
        <w:rPr>
          <w:color w:val="000000"/>
        </w:rPr>
        <w:t xml:space="preserve">Good Manufacturing Practice (GMP): </w:t>
      </w:r>
      <w:hyperlink r:id="rId104">
        <w:r>
          <w:rPr>
            <w:color w:val="0000FF"/>
            <w:szCs w:val="20"/>
            <w:u w:val="single"/>
          </w:rPr>
          <w:t>https://www.who.int/teams/health-product-policy-and-standards/standards-and-specifications/gmp</w:t>
        </w:r>
      </w:hyperlink>
    </w:p>
  </w:footnote>
  <w:footnote w:id="141">
    <w:p w14:paraId="004B3534" w14:textId="77777777" w:rsidR="00056AEE" w:rsidRDefault="00A00CB7">
      <w:pPr>
        <w:pStyle w:val="footnote1"/>
      </w:pPr>
      <w:r>
        <w:rPr>
          <w:vertAlign w:val="superscript"/>
        </w:rPr>
        <w:footnoteRef/>
      </w:r>
      <w:r>
        <w:rPr>
          <w:vertAlign w:val="superscript"/>
        </w:rPr>
        <w:tab/>
      </w:r>
      <w:r>
        <w:rPr>
          <w:color w:val="000000"/>
        </w:rPr>
        <w:t xml:space="preserve">Blood, tissues, cells and organs - European Commission (europa.eu): </w:t>
      </w:r>
      <w:hyperlink r:id="rId105">
        <w:r>
          <w:rPr>
            <w:color w:val="0000FF"/>
            <w:szCs w:val="20"/>
            <w:u w:val="single"/>
          </w:rPr>
          <w:t>https://health.ec.europa.eu/blood-tissues-cells-and-organs_en</w:t>
        </w:r>
      </w:hyperlink>
    </w:p>
  </w:footnote>
  <w:footnote w:id="142">
    <w:p w14:paraId="6044AC68" w14:textId="77777777" w:rsidR="00056AEE" w:rsidRDefault="00A00CB7">
      <w:pPr>
        <w:pStyle w:val="footnote1"/>
      </w:pPr>
      <w:r>
        <w:rPr>
          <w:vertAlign w:val="superscript"/>
        </w:rPr>
        <w:footnoteRef/>
      </w:r>
      <w:r>
        <w:rPr>
          <w:vertAlign w:val="superscript"/>
        </w:rPr>
        <w:tab/>
      </w:r>
      <w:r>
        <w:rPr>
          <w:color w:val="000000"/>
        </w:rPr>
        <w:t xml:space="preserve">Ethics Guidelines for Trustworthy AI, published by the European Commission’s High Level Expert Group on Artificial Intelligence: </w:t>
      </w:r>
      <w:hyperlink r:id="rId106">
        <w:r>
          <w:rPr>
            <w:color w:val="0000FF"/>
            <w:szCs w:val="20"/>
            <w:u w:val="single"/>
          </w:rPr>
          <w:t>https://ec.europa.eu/futurium/en/ai-alliance-consultation.1.html</w:t>
        </w:r>
      </w:hyperlink>
    </w:p>
  </w:footnote>
  <w:footnote w:id="143">
    <w:p w14:paraId="45970B8B" w14:textId="77777777" w:rsidR="00056AEE" w:rsidRDefault="00A00CB7">
      <w:pPr>
        <w:pStyle w:val="footnote1"/>
      </w:pPr>
      <w:r>
        <w:rPr>
          <w:vertAlign w:val="superscript"/>
        </w:rPr>
        <w:footnoteRef/>
      </w:r>
      <w:r>
        <w:rPr>
          <w:vertAlign w:val="superscript"/>
        </w:rPr>
        <w:tab/>
      </w:r>
      <w:r>
        <w:rPr>
          <w:color w:val="000000"/>
        </w:rPr>
        <w:t xml:space="preserve">Guidelines on the responsible use of generative AI in research developed by the European Research Area Forum: </w:t>
      </w:r>
      <w:hyperlink r:id="rId107">
        <w:r>
          <w:rPr>
            <w:color w:val="0000FF"/>
            <w:szCs w:val="20"/>
            <w:u w:val="single"/>
          </w:rPr>
          <w:t>https://research-and-innovation.ec.europa.eu/news/all-research-and-innovation-news/guidelines-responsible-use-generative-ai-research-developed-european-research-area-forum-2024-03-20_en</w:t>
        </w:r>
      </w:hyperlink>
    </w:p>
  </w:footnote>
  <w:footnote w:id="144">
    <w:p w14:paraId="4EA29BBA" w14:textId="77777777" w:rsidR="00056AEE" w:rsidRDefault="00A00CB7">
      <w:pPr>
        <w:pStyle w:val="footnote1"/>
      </w:pPr>
      <w:r>
        <w:rPr>
          <w:vertAlign w:val="superscript"/>
        </w:rPr>
        <w:footnoteRef/>
      </w:r>
      <w:r>
        <w:rPr>
          <w:vertAlign w:val="superscript"/>
        </w:rPr>
        <w:tab/>
      </w:r>
      <w:r>
        <w:rPr>
          <w:color w:val="000000"/>
        </w:rPr>
        <w:t>See definition of FAIR data in the introduction to this work programme part.</w:t>
      </w:r>
    </w:p>
  </w:footnote>
  <w:footnote w:id="145">
    <w:p w14:paraId="4F3D0C4E" w14:textId="77777777" w:rsidR="00056AEE" w:rsidRDefault="00A00CB7">
      <w:pPr>
        <w:pStyle w:val="footnote1"/>
      </w:pPr>
      <w:r>
        <w:rPr>
          <w:vertAlign w:val="superscript"/>
        </w:rPr>
        <w:footnoteRef/>
      </w:r>
      <w:r>
        <w:rPr>
          <w:vertAlign w:val="superscript"/>
        </w:rPr>
        <w:tab/>
      </w:r>
      <w:r>
        <w:rPr>
          <w:color w:val="000000"/>
        </w:rPr>
        <w:t xml:space="preserve">General Data Protection Regulation: </w:t>
      </w:r>
      <w:hyperlink r:id="rId108">
        <w:r>
          <w:rPr>
            <w:color w:val="0000FF"/>
            <w:szCs w:val="20"/>
            <w:u w:val="single"/>
          </w:rPr>
          <w:t>https://gdpr-info.eu</w:t>
        </w:r>
      </w:hyperlink>
    </w:p>
  </w:footnote>
  <w:footnote w:id="146">
    <w:p w14:paraId="740DEF17" w14:textId="77777777" w:rsidR="00056AEE" w:rsidRDefault="00A00CB7">
      <w:pPr>
        <w:pStyle w:val="footnote1"/>
      </w:pPr>
      <w:r>
        <w:rPr>
          <w:vertAlign w:val="superscript"/>
        </w:rPr>
        <w:footnoteRef/>
      </w:r>
      <w:r>
        <w:rPr>
          <w:vertAlign w:val="superscript"/>
        </w:rPr>
        <w:tab/>
      </w:r>
      <w:hyperlink r:id="rId109">
        <w:r>
          <w:rPr>
            <w:color w:val="0000FF"/>
            <w:szCs w:val="20"/>
            <w:u w:val="single"/>
          </w:rPr>
          <w:t>https://www.ejprarediseases.org/what-is-the-virtual-platform</w:t>
        </w:r>
      </w:hyperlink>
    </w:p>
  </w:footnote>
  <w:footnote w:id="147">
    <w:p w14:paraId="559A2EA1" w14:textId="77777777" w:rsidR="00056AEE" w:rsidRDefault="00A00CB7">
      <w:pPr>
        <w:pStyle w:val="footnote1"/>
      </w:pPr>
      <w:r>
        <w:rPr>
          <w:vertAlign w:val="superscript"/>
        </w:rPr>
        <w:footnoteRef/>
      </w:r>
      <w:r>
        <w:rPr>
          <w:vertAlign w:val="superscript"/>
        </w:rPr>
        <w:tab/>
      </w:r>
      <w:hyperlink r:id="rId110">
        <w:r>
          <w:rPr>
            <w:color w:val="0000FF"/>
            <w:szCs w:val="20"/>
            <w:u w:val="single"/>
          </w:rPr>
          <w:t>https://health.ec.europa.eu/ehealth-digital-health-and-care/european-health-data-space_en</w:t>
        </w:r>
      </w:hyperlink>
    </w:p>
  </w:footnote>
  <w:footnote w:id="148">
    <w:p w14:paraId="16FBB846" w14:textId="77777777" w:rsidR="00056AEE" w:rsidRDefault="00A00CB7">
      <w:pPr>
        <w:pStyle w:val="footnote1"/>
      </w:pPr>
      <w:r>
        <w:rPr>
          <w:vertAlign w:val="superscript"/>
        </w:rPr>
        <w:footnoteRef/>
      </w:r>
      <w:r>
        <w:rPr>
          <w:vertAlign w:val="superscript"/>
        </w:rPr>
        <w:tab/>
      </w:r>
      <w:hyperlink r:id="rId111">
        <w:r>
          <w:rPr>
            <w:color w:val="0000FF"/>
            <w:szCs w:val="20"/>
            <w:u w:val="single"/>
          </w:rPr>
          <w:t>https://gdi.onemilliongenomes.eu</w:t>
        </w:r>
      </w:hyperlink>
    </w:p>
  </w:footnote>
  <w:footnote w:id="149">
    <w:p w14:paraId="51D90A7A" w14:textId="77777777" w:rsidR="00056AEE" w:rsidRDefault="00A00CB7">
      <w:pPr>
        <w:pStyle w:val="footnote1"/>
      </w:pPr>
      <w:r>
        <w:rPr>
          <w:vertAlign w:val="superscript"/>
        </w:rPr>
        <w:footnoteRef/>
      </w:r>
      <w:r>
        <w:rPr>
          <w:vertAlign w:val="superscript"/>
        </w:rPr>
        <w:tab/>
      </w:r>
      <w:hyperlink r:id="rId112">
        <w:r>
          <w:rPr>
            <w:color w:val="0000FF"/>
            <w:szCs w:val="20"/>
            <w:u w:val="single"/>
          </w:rPr>
          <w:t>https://cancerimage.eu</w:t>
        </w:r>
      </w:hyperlink>
    </w:p>
  </w:footnote>
  <w:footnote w:id="150">
    <w:p w14:paraId="0E73DB3E" w14:textId="77777777" w:rsidR="00056AEE" w:rsidRDefault="00A00CB7">
      <w:pPr>
        <w:pStyle w:val="footnote1"/>
      </w:pPr>
      <w:r>
        <w:rPr>
          <w:vertAlign w:val="superscript"/>
        </w:rPr>
        <w:footnoteRef/>
      </w:r>
      <w:r>
        <w:rPr>
          <w:vertAlign w:val="superscript"/>
        </w:rPr>
        <w:tab/>
      </w:r>
      <w:hyperlink r:id="rId113">
        <w:r>
          <w:rPr>
            <w:color w:val="0000FF"/>
            <w:szCs w:val="20"/>
            <w:u w:val="single"/>
          </w:rPr>
          <w:t>https://research-and-innovation.ec.europa.eu/strategy/strategy-2020-2024/our-digital-future/open-science/european-open-science-cloud-eosc_en</w:t>
        </w:r>
      </w:hyperlink>
    </w:p>
  </w:footnote>
  <w:footnote w:id="151">
    <w:p w14:paraId="0DAE82BD" w14:textId="77777777" w:rsidR="00056AEE" w:rsidRDefault="00A00CB7">
      <w:pPr>
        <w:pStyle w:val="footnote1"/>
      </w:pPr>
      <w:r>
        <w:rPr>
          <w:vertAlign w:val="superscript"/>
        </w:rPr>
        <w:footnoteRef/>
      </w:r>
      <w:r>
        <w:rPr>
          <w:vertAlign w:val="superscript"/>
        </w:rPr>
        <w:tab/>
      </w:r>
      <w:hyperlink r:id="rId114">
        <w:r>
          <w:rPr>
            <w:color w:val="0000FF"/>
            <w:szCs w:val="20"/>
            <w:u w:val="single"/>
          </w:rPr>
          <w:t>https://www.ebrains.eu</w:t>
        </w:r>
      </w:hyperlink>
    </w:p>
  </w:footnote>
  <w:footnote w:id="152">
    <w:p w14:paraId="7ADA3C63" w14:textId="77777777" w:rsidR="00056AEE" w:rsidRDefault="00A00CB7">
      <w:pPr>
        <w:pStyle w:val="footnote1"/>
      </w:pPr>
      <w:r>
        <w:rPr>
          <w:vertAlign w:val="superscript"/>
        </w:rPr>
        <w:footnoteRef/>
      </w:r>
      <w:r>
        <w:rPr>
          <w:vertAlign w:val="superscript"/>
        </w:rPr>
        <w:tab/>
      </w:r>
      <w:hyperlink r:id="rId115">
        <w:r>
          <w:rPr>
            <w:color w:val="0000FF"/>
            <w:szCs w:val="20"/>
            <w:u w:val="single"/>
          </w:rPr>
          <w:t>https://digital-strategy.ec.europa.eu/en/policies/ai-factories</w:t>
        </w:r>
      </w:hyperlink>
    </w:p>
  </w:footnote>
  <w:footnote w:id="153">
    <w:p w14:paraId="214B96DB" w14:textId="77777777" w:rsidR="00056AEE" w:rsidRDefault="00A00CB7">
      <w:pPr>
        <w:pStyle w:val="footnote1"/>
      </w:pPr>
      <w:r>
        <w:rPr>
          <w:vertAlign w:val="superscript"/>
        </w:rPr>
        <w:footnoteRef/>
      </w:r>
      <w:r>
        <w:rPr>
          <w:vertAlign w:val="superscript"/>
        </w:rPr>
        <w:tab/>
      </w:r>
      <w:hyperlink r:id="rId116">
        <w:r>
          <w:rPr>
            <w:color w:val="0000FF"/>
            <w:szCs w:val="20"/>
            <w:u w:val="single"/>
          </w:rPr>
          <w:t>https://research-and-innovation.ec.europa.eu/document/download/47554adc-dffc-411b-8cd6-b52417514cb3_en</w:t>
        </w:r>
      </w:hyperlink>
    </w:p>
  </w:footnote>
  <w:footnote w:id="154">
    <w:p w14:paraId="6BE710D2" w14:textId="77777777" w:rsidR="00056AEE" w:rsidRDefault="00A00CB7">
      <w:pPr>
        <w:pStyle w:val="footnote1"/>
      </w:pPr>
      <w:r>
        <w:rPr>
          <w:vertAlign w:val="superscript"/>
        </w:rPr>
        <w:footnoteRef/>
      </w:r>
      <w:r>
        <w:rPr>
          <w:vertAlign w:val="superscript"/>
        </w:rPr>
        <w:tab/>
      </w:r>
      <w:hyperlink r:id="rId117">
        <w:r>
          <w:rPr>
            <w:color w:val="0000FF"/>
            <w:szCs w:val="20"/>
            <w:u w:val="single"/>
          </w:rPr>
          <w:t>https://go.bio.org/rs/490-EHZ-999/images/ClinicalDevelopmentSuccessRates2011_2020.pdf</w:t>
        </w:r>
      </w:hyperlink>
    </w:p>
  </w:footnote>
  <w:footnote w:id="155">
    <w:p w14:paraId="1A7D2A26" w14:textId="77777777" w:rsidR="00056AEE" w:rsidRDefault="00A00CB7">
      <w:pPr>
        <w:pStyle w:val="footnote1"/>
      </w:pPr>
      <w:r>
        <w:rPr>
          <w:vertAlign w:val="superscript"/>
        </w:rPr>
        <w:footnoteRef/>
      </w:r>
      <w:r>
        <w:rPr>
          <w:vertAlign w:val="superscript"/>
        </w:rPr>
        <w:tab/>
      </w:r>
      <w:r>
        <w:rPr>
          <w:color w:val="000000"/>
        </w:rPr>
        <w:t xml:space="preserve">ATMPs as classified by the European Medicines Agency (EMA): </w:t>
      </w:r>
      <w:hyperlink r:id="rId118">
        <w:r>
          <w:rPr>
            <w:color w:val="0000FF"/>
            <w:szCs w:val="20"/>
            <w:u w:val="single"/>
          </w:rPr>
          <w:t>https://www.ema.europa.eu/en/human-regulatory-overview/advanced-therapy-medicinal-products-overview</w:t>
        </w:r>
      </w:hyperlink>
    </w:p>
  </w:footnote>
  <w:footnote w:id="156">
    <w:p w14:paraId="4EC6AFF9" w14:textId="77777777" w:rsidR="00056AEE" w:rsidRDefault="00A00CB7">
      <w:pPr>
        <w:pStyle w:val="footnote1"/>
      </w:pPr>
      <w:r>
        <w:rPr>
          <w:vertAlign w:val="superscript"/>
        </w:rPr>
        <w:footnoteRef/>
      </w:r>
      <w:r>
        <w:rPr>
          <w:vertAlign w:val="superscript"/>
        </w:rPr>
        <w:tab/>
      </w:r>
      <w:r>
        <w:rPr>
          <w:color w:val="000000"/>
        </w:rPr>
        <w:t xml:space="preserve">For the purpose of this topic, the reference to ‘devices’ includes both medical devices and </w:t>
      </w:r>
      <w:r>
        <w:rPr>
          <w:i/>
          <w:color w:val="000000"/>
        </w:rPr>
        <w:t>in vitro</w:t>
      </w:r>
      <w:r>
        <w:rPr>
          <w:color w:val="000000"/>
        </w:rPr>
        <w:t xml:space="preserve"> diagnostic medical devices, unless otherwise specified.</w:t>
      </w:r>
    </w:p>
  </w:footnote>
  <w:footnote w:id="157">
    <w:p w14:paraId="3759B7D4" w14:textId="77777777" w:rsidR="00056AEE" w:rsidRDefault="00A00CB7">
      <w:pPr>
        <w:pStyle w:val="footnote1"/>
      </w:pPr>
      <w:r>
        <w:rPr>
          <w:vertAlign w:val="superscript"/>
        </w:rPr>
        <w:footnoteRef/>
      </w:r>
      <w:r>
        <w:rPr>
          <w:vertAlign w:val="superscript"/>
        </w:rPr>
        <w:tab/>
      </w:r>
      <w:r>
        <w:rPr>
          <w:color w:val="000000"/>
        </w:rPr>
        <w:t xml:space="preserve">Study commissioned by the European Commission’s Directorate-General for Health and Food Safety via the European Health and Digital Executive Agency (results not yet published): </w:t>
      </w:r>
      <w:hyperlink r:id="rId119">
        <w:r>
          <w:rPr>
            <w:color w:val="0000FF"/>
            <w:szCs w:val="20"/>
            <w:u w:val="single"/>
          </w:rPr>
          <w:t>https://health.ec.europa.eu/study-supporting-monitoring-availability-medical-devices-eu-market_en</w:t>
        </w:r>
      </w:hyperlink>
    </w:p>
  </w:footnote>
  <w:footnote w:id="158">
    <w:p w14:paraId="07EE07BA" w14:textId="77777777" w:rsidR="00056AEE" w:rsidRDefault="00A00CB7">
      <w:pPr>
        <w:pStyle w:val="footnote1"/>
      </w:pPr>
      <w:r>
        <w:rPr>
          <w:vertAlign w:val="superscript"/>
        </w:rPr>
        <w:footnoteRef/>
      </w:r>
      <w:r>
        <w:rPr>
          <w:vertAlign w:val="superscript"/>
        </w:rPr>
        <w:tab/>
      </w:r>
      <w:r>
        <w:rPr>
          <w:color w:val="000000"/>
        </w:rPr>
        <w:t xml:space="preserve">For the purpose of this topic, the reference to ‘devices’ includes both medical devices and </w:t>
      </w:r>
      <w:r>
        <w:rPr>
          <w:i/>
          <w:color w:val="000000"/>
        </w:rPr>
        <w:t>in vitro</w:t>
      </w:r>
      <w:r>
        <w:rPr>
          <w:color w:val="000000"/>
        </w:rPr>
        <w:t xml:space="preserve"> diagnostic medical devices, unless otherwise specified.</w:t>
      </w:r>
    </w:p>
  </w:footnote>
  <w:footnote w:id="159">
    <w:p w14:paraId="51AB1787" w14:textId="77777777" w:rsidR="00056AEE" w:rsidRDefault="00A00CB7">
      <w:pPr>
        <w:pStyle w:val="footnote1"/>
      </w:pPr>
      <w:r>
        <w:rPr>
          <w:vertAlign w:val="superscript"/>
        </w:rPr>
        <w:footnoteRef/>
      </w:r>
      <w:r>
        <w:rPr>
          <w:vertAlign w:val="superscript"/>
        </w:rPr>
        <w:tab/>
      </w:r>
      <w:r>
        <w:rPr>
          <w:color w:val="000000"/>
        </w:rPr>
        <w:t>See definition of clinical studies in the introduction to this work programme part.</w:t>
      </w:r>
    </w:p>
  </w:footnote>
  <w:footnote w:id="160">
    <w:p w14:paraId="2BB26F49" w14:textId="77777777" w:rsidR="00056AEE" w:rsidRDefault="00A00CB7">
      <w:pPr>
        <w:pStyle w:val="footnote1"/>
      </w:pPr>
      <w:r>
        <w:rPr>
          <w:vertAlign w:val="superscript"/>
        </w:rPr>
        <w:footnoteRef/>
      </w:r>
      <w:r>
        <w:rPr>
          <w:vertAlign w:val="superscript"/>
        </w:rPr>
        <w:tab/>
      </w:r>
      <w:r>
        <w:rPr>
          <w:color w:val="000000"/>
        </w:rPr>
        <w:t>A device should be regarded as an ‘orphan device’, if it meets the following criteria: i) the device is specifically intended to benefit patients in the treatment, diagnosis, or prevention of a disease or condition that presents in not more than 12.000 individuals in the European Union per year and ii) at least one of the following criteria are met:</w:t>
      </w:r>
    </w:p>
    <w:p w14:paraId="776403CE" w14:textId="77777777" w:rsidR="00056AEE" w:rsidRDefault="00A00CB7">
      <w:pPr>
        <w:pStyle w:val="footnote2"/>
      </w:pPr>
      <w:r>
        <w:rPr>
          <w:color w:val="000000"/>
        </w:rPr>
        <w:t>- there is insufficiency of available alternative options for the treatment, diagnosis, or prevention of this disease/condition, or</w:t>
      </w:r>
    </w:p>
    <w:p w14:paraId="52F2F031" w14:textId="77777777" w:rsidR="00056AEE" w:rsidRDefault="00A00CB7">
      <w:pPr>
        <w:pStyle w:val="footnote2"/>
      </w:pPr>
      <w:r>
        <w:rPr>
          <w:color w:val="000000"/>
        </w:rPr>
        <w:t xml:space="preserve">- the device will offer an option that will provide an expected clinical benefit compared to available alternatives or state of the art for the treatment, diagnosis, or prevention of this disease/condition, taking into account both device and patient population-specific factors. MDCG 2024-10 Guidance on clinical evaluation of orphan medical devices: </w:t>
      </w:r>
      <w:hyperlink r:id="rId120">
        <w:r>
          <w:rPr>
            <w:color w:val="0000FF"/>
            <w:szCs w:val="20"/>
            <w:u w:val="single"/>
          </w:rPr>
          <w:t>https://health.ec.europa.eu/document/download/daa1fc59-9d2c-4e82-878e-d6fdf12ecd1a_en?filename=mdcg_2024-10_en.pdf</w:t>
        </w:r>
      </w:hyperlink>
      <w:r>
        <w:rPr>
          <w:color w:val="000000"/>
        </w:rPr>
        <w:t>.</w:t>
      </w:r>
    </w:p>
  </w:footnote>
  <w:footnote w:id="161">
    <w:p w14:paraId="4CF57977" w14:textId="77777777" w:rsidR="00056AEE" w:rsidRDefault="00A00CB7">
      <w:pPr>
        <w:pStyle w:val="footnote1"/>
      </w:pPr>
      <w:r>
        <w:rPr>
          <w:vertAlign w:val="superscript"/>
        </w:rPr>
        <w:footnoteRef/>
      </w:r>
      <w:r>
        <w:rPr>
          <w:vertAlign w:val="superscript"/>
        </w:rPr>
        <w:tab/>
      </w:r>
      <w:r>
        <w:rPr>
          <w:color w:val="000000"/>
        </w:rPr>
        <w:t>See Appendix 8 to MEDDEV 2.7/1 revision 4 (</w:t>
      </w:r>
      <w:hyperlink r:id="rId121">
        <w:r>
          <w:rPr>
            <w:color w:val="0000FF"/>
            <w:szCs w:val="20"/>
            <w:u w:val="single"/>
          </w:rPr>
          <w:t>https://ec.europa.eu/docsroom/documents/17522/attachments/1/translations</w:t>
        </w:r>
      </w:hyperlink>
      <w:r>
        <w:rPr>
          <w:color w:val="000000"/>
        </w:rPr>
        <w:t>) or the FDA’s Breakthrough Devices Program (</w:t>
      </w:r>
      <w:hyperlink r:id="rId122">
        <w:r>
          <w:rPr>
            <w:color w:val="0000FF"/>
            <w:szCs w:val="20"/>
            <w:u w:val="single"/>
          </w:rPr>
          <w:t>https://www.fda.gov/medical-devices/how-study-and-market-your-device/breakthrough-devices-program</w:t>
        </w:r>
      </w:hyperlink>
      <w:r>
        <w:rPr>
          <w:color w:val="000000"/>
        </w:rPr>
        <w:t>).</w:t>
      </w:r>
    </w:p>
  </w:footnote>
  <w:footnote w:id="162">
    <w:p w14:paraId="0041B921" w14:textId="77777777" w:rsidR="00056AEE" w:rsidRDefault="00A00CB7">
      <w:pPr>
        <w:pStyle w:val="footnote1"/>
      </w:pPr>
      <w:r>
        <w:rPr>
          <w:vertAlign w:val="superscript"/>
        </w:rPr>
        <w:footnoteRef/>
      </w:r>
      <w:r>
        <w:rPr>
          <w:vertAlign w:val="superscript"/>
        </w:rPr>
        <w:tab/>
      </w:r>
      <w:r>
        <w:rPr>
          <w:color w:val="000000"/>
        </w:rPr>
        <w:t>Based on Article 4(2) of Commission Regulation 507/2006 which defines the term ‘unmet medical needs’ in the field of medicinal products.</w:t>
      </w:r>
    </w:p>
  </w:footnote>
  <w:footnote w:id="163">
    <w:p w14:paraId="7467D3DE" w14:textId="77777777" w:rsidR="00056AEE" w:rsidRDefault="00A00CB7">
      <w:pPr>
        <w:pStyle w:val="footnote1"/>
      </w:pPr>
      <w:r>
        <w:rPr>
          <w:vertAlign w:val="superscript"/>
        </w:rPr>
        <w:footnoteRef/>
      </w:r>
      <w:r>
        <w:rPr>
          <w:vertAlign w:val="superscript"/>
        </w:rPr>
        <w:tab/>
      </w:r>
      <w:r>
        <w:rPr>
          <w:color w:val="000000"/>
        </w:rPr>
        <w:t>‘Clinical benefit’ is defined in the Medical Device Regulation (EU) 2017/745, Article 2(53) as follows: Clinical benefit means the positive impact of a device on the health of an individual, expressed in terms of a meaningful, measurable, patient-relevant clinical outcome(s), including outcome(s) related to diagnosis, or a positive impact on patient management or public health.</w:t>
      </w:r>
    </w:p>
  </w:footnote>
  <w:footnote w:id="164">
    <w:p w14:paraId="4E37E449" w14:textId="77777777" w:rsidR="00056AEE" w:rsidRDefault="00A00CB7">
      <w:pPr>
        <w:pStyle w:val="footnote1"/>
      </w:pPr>
      <w:r>
        <w:rPr>
          <w:vertAlign w:val="superscript"/>
        </w:rPr>
        <w:footnoteRef/>
      </w:r>
      <w:r>
        <w:rPr>
          <w:vertAlign w:val="superscript"/>
        </w:rPr>
        <w:tab/>
      </w:r>
      <w:r>
        <w:rPr>
          <w:color w:val="000000"/>
        </w:rPr>
        <w:t xml:space="preserve">EMA pilots scientific advice for certain high-risk medical devices - European Medicines Agency (EMA): </w:t>
      </w:r>
      <w:hyperlink r:id="rId123">
        <w:r>
          <w:rPr>
            <w:color w:val="0000FF"/>
            <w:szCs w:val="20"/>
            <w:u w:val="single"/>
          </w:rPr>
          <w:t>https://www.ema.europa.eu/en/news/ema-pilots-scientific-advice-certain-high-risk-medical-devices</w:t>
        </w:r>
      </w:hyperlink>
    </w:p>
  </w:footnote>
  <w:footnote w:id="165">
    <w:p w14:paraId="513D9751" w14:textId="77777777" w:rsidR="00056AEE" w:rsidRDefault="00A00CB7">
      <w:pPr>
        <w:pStyle w:val="footnote1"/>
      </w:pPr>
      <w:r>
        <w:rPr>
          <w:vertAlign w:val="superscript"/>
        </w:rPr>
        <w:footnoteRef/>
      </w:r>
      <w:r>
        <w:rPr>
          <w:vertAlign w:val="superscript"/>
        </w:rPr>
        <w:tab/>
      </w:r>
      <w:hyperlink r:id="rId124">
        <w:r>
          <w:rPr>
            <w:color w:val="0000FF"/>
            <w:szCs w:val="20"/>
            <w:u w:val="single"/>
          </w:rPr>
          <w:t>https://ec.europa.eu/info/funding-tenders/opportunities/portal/screen/opportunities/topic-details/horizon-hlth-2023-disease-07-01</w:t>
        </w:r>
      </w:hyperlink>
    </w:p>
  </w:footnote>
  <w:footnote w:id="166">
    <w:p w14:paraId="42E2CD40" w14:textId="77777777" w:rsidR="00056AEE" w:rsidRDefault="00A00CB7">
      <w:pPr>
        <w:pStyle w:val="footnote1"/>
      </w:pPr>
      <w:r>
        <w:rPr>
          <w:vertAlign w:val="superscript"/>
        </w:rPr>
        <w:footnoteRef/>
      </w:r>
      <w:r>
        <w:rPr>
          <w:vertAlign w:val="superscript"/>
        </w:rPr>
        <w:tab/>
      </w:r>
      <w:hyperlink r:id="rId125">
        <w:r>
          <w:rPr>
            <w:color w:val="0000FF"/>
            <w:szCs w:val="20"/>
            <w:u w:val="single"/>
          </w:rPr>
          <w:t>https://www.gacd.org</w:t>
        </w:r>
      </w:hyperlink>
    </w:p>
  </w:footnote>
  <w:footnote w:id="167">
    <w:p w14:paraId="11E8ED64" w14:textId="77777777" w:rsidR="00056AEE" w:rsidRDefault="00A00CB7">
      <w:pPr>
        <w:pStyle w:val="footnote1"/>
      </w:pPr>
      <w:r>
        <w:rPr>
          <w:vertAlign w:val="superscript"/>
        </w:rPr>
        <w:footnoteRef/>
      </w:r>
      <w:r>
        <w:rPr>
          <w:vertAlign w:val="superscript"/>
        </w:rPr>
        <w:tab/>
      </w:r>
      <w:r>
        <w:rPr>
          <w:color w:val="000000"/>
        </w:rPr>
        <w:t>The European Commission is a member of the HFSP Organization (HFSPO) and has funded HFSP under previous Framework Programmes</w:t>
      </w:r>
    </w:p>
  </w:footnote>
  <w:footnote w:id="168">
    <w:p w14:paraId="2FE7C057" w14:textId="77777777" w:rsidR="00056AEE" w:rsidRDefault="00A00CB7">
      <w:pPr>
        <w:pStyle w:val="footnote1"/>
      </w:pPr>
      <w:r>
        <w:rPr>
          <w:vertAlign w:val="superscript"/>
        </w:rPr>
        <w:footnoteRef/>
      </w:r>
      <w:r>
        <w:rPr>
          <w:vertAlign w:val="superscript"/>
        </w:rPr>
        <w:tab/>
      </w:r>
      <w:r>
        <w:rPr>
          <w:color w:val="000000"/>
        </w:rPr>
        <w:t>Communication from the Commission on the Global Approach to Research and Innovation. Europe’s strategy for international cooperation in a changing world, COM(2021) 252, 18.5.2021 (</w:t>
      </w:r>
      <w:hyperlink r:id="rId126">
        <w:r>
          <w:rPr>
            <w:color w:val="0000FF"/>
            <w:szCs w:val="20"/>
            <w:u w:val="single"/>
          </w:rPr>
          <w:t>https://eur-lex.europa.eu/legal-content/EN/TXT/?uri=COM%3A2021%3A252%3AFIN</w:t>
        </w:r>
      </w:hyperlink>
      <w:r>
        <w:rPr>
          <w:color w:val="000000"/>
        </w:rPr>
        <w:t>).</w:t>
      </w:r>
    </w:p>
  </w:footnote>
  <w:footnote w:id="169">
    <w:p w14:paraId="68CA871F" w14:textId="77777777" w:rsidR="00056AEE" w:rsidRDefault="00A00CB7">
      <w:pPr>
        <w:pStyle w:val="footnote1"/>
      </w:pPr>
      <w:r>
        <w:rPr>
          <w:vertAlign w:val="superscript"/>
        </w:rPr>
        <w:footnoteRef/>
      </w:r>
      <w:r>
        <w:rPr>
          <w:vertAlign w:val="superscript"/>
        </w:rPr>
        <w:tab/>
      </w:r>
      <w:r>
        <w:rPr>
          <w:color w:val="000000"/>
        </w:rPr>
        <w:t>The budget figures given in this table are rounded to two decimal places.</w:t>
      </w:r>
    </w:p>
    <w:p w14:paraId="3CAE8EF9" w14:textId="77777777" w:rsidR="00056AEE" w:rsidRDefault="00A00CB7">
      <w:pPr>
        <w:pStyle w:val="footnote2"/>
      </w:pPr>
      <w:r>
        <w:rPr>
          <w:color w:val="000000"/>
        </w:rPr>
        <w:t>The budget amounts are subject to the availability of the appropriations provided for in the general budget of the Union for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82BF" w14:textId="77777777" w:rsidR="00254CB4" w:rsidRDefault="00254C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E1DA" w14:textId="77777777" w:rsidR="00942B6D" w:rsidRPr="00645F70" w:rsidRDefault="00000000" w:rsidP="00645F70">
    <w:pPr>
      <w:pStyle w:val="HeaderStyle"/>
    </w:pPr>
    <w:sdt>
      <w:sdtPr>
        <w:id w:val="384768709"/>
        <w:docPartObj>
          <w:docPartGallery w:val="Watermarks"/>
          <w:docPartUnique/>
        </w:docPartObj>
      </w:sdtPr>
      <w:sdtContent>
        <w:r w:rsidR="00F95873">
          <w:rPr>
            <w:noProof/>
            <w:lang w:val="en-US" w:eastAsia="zh-TW"/>
          </w:rPr>
          <w:pict w14:anchorId="5A100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F33EAE">
      <w:t>Horizon Europe - Work Programme 2025</w:t>
    </w:r>
    <w:r w:rsidR="00F33EAE">
      <w:cr/>
      <w:t>Health</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4ADD" w14:textId="77777777" w:rsidR="006A6038" w:rsidRDefault="006372DB" w:rsidP="00F37A29">
    <w:pPr>
      <w:pStyle w:val="En-tte"/>
      <w:tabs>
        <w:tab w:val="clear" w:pos="4536"/>
        <w:tab w:val="clear" w:pos="9072"/>
        <w:tab w:val="left" w:pos="2265"/>
      </w:tabs>
    </w:pPr>
    <w:r>
      <w:rPr>
        <w:noProof/>
      </w:rPr>
      <mc:AlternateContent>
        <mc:Choice Requires="wps">
          <w:drawing>
            <wp:anchor distT="0" distB="0" distL="114300" distR="114300" simplePos="0" relativeHeight="251660288" behindDoc="1" locked="0" layoutInCell="0" allowOverlap="1" wp14:anchorId="339A43FB">
              <wp:simplePos x="0" y="0"/>
              <wp:positionH relativeFrom="margin">
                <wp:posOffset>414020</wp:posOffset>
              </wp:positionH>
              <wp:positionV relativeFrom="margin">
                <wp:posOffset>3269615</wp:posOffset>
              </wp:positionV>
              <wp:extent cx="5237480" cy="3142615"/>
              <wp:effectExtent l="0" t="0" r="0" b="0"/>
              <wp:wrapNone/>
              <wp:docPr id="66883443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E2124" w14:textId="77777777" w:rsidR="006372DB" w:rsidRDefault="006372DB" w:rsidP="006372DB">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9A43FB" id="_x0000_t202" coordsize="21600,21600" o:spt="202" path="m,l,21600r21600,l21600,xe">
              <v:stroke joinstyle="miter"/>
              <v:path gradientshapeok="t" o:connecttype="rect"/>
            </v:shapetype>
            <v:shape id="WordArt 9" o:spid="_x0000_s1026" type="#_x0000_t202" style="position:absolute;left:0;text-align:left;margin-left:32.6pt;margin-top:257.4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" o:allowincell="f" filled="f" stroked="f">
              <v:stroke joinstyle="round"/>
              <v:path arrowok="t"/>
              <v:textbox>
                <w:txbxContent>
                  <w:p w14:paraId="26FE2124" w14:textId="77777777" w:rsidR="006372DB" w:rsidRDefault="006372DB" w:rsidP="006372DB">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75F"/>
    <w:multiLevelType w:val="hybridMultilevel"/>
    <w:tmpl w:val="B526F7F8"/>
    <w:name w:val="CPSNumberingScheme"/>
    <w:lvl w:ilvl="0" w:tplc="A9F25826">
      <w:start w:val="1"/>
      <w:numFmt w:val="decimal"/>
      <w:lvlText w:val="%1."/>
      <w:lvlJc w:val="right"/>
      <w:pPr>
        <w:ind w:left="500" w:hanging="180"/>
      </w:pPr>
    </w:lvl>
    <w:lvl w:ilvl="1" w:tplc="FCC8269C">
      <w:start w:val="1"/>
      <w:numFmt w:val="decimal"/>
      <w:lvlText w:val="%2."/>
      <w:lvlJc w:val="right"/>
      <w:pPr>
        <w:ind w:left="1000" w:hanging="180"/>
      </w:pPr>
    </w:lvl>
    <w:lvl w:ilvl="2" w:tplc="8DA8EED4">
      <w:start w:val="1"/>
      <w:numFmt w:val="decimal"/>
      <w:lvlText w:val="%3."/>
      <w:lvlJc w:val="right"/>
      <w:pPr>
        <w:ind w:left="1500" w:hanging="180"/>
      </w:pPr>
    </w:lvl>
    <w:lvl w:ilvl="3" w:tplc="008092C6">
      <w:start w:val="1"/>
      <w:numFmt w:val="decimal"/>
      <w:lvlText w:val="%4."/>
      <w:lvlJc w:val="right"/>
      <w:pPr>
        <w:ind w:left="2000" w:hanging="180"/>
      </w:pPr>
    </w:lvl>
    <w:lvl w:ilvl="4" w:tplc="5614C75C">
      <w:start w:val="1"/>
      <w:numFmt w:val="decimal"/>
      <w:lvlText w:val="%5."/>
      <w:lvlJc w:val="right"/>
      <w:pPr>
        <w:ind w:left="2500" w:hanging="180"/>
      </w:pPr>
    </w:lvl>
    <w:lvl w:ilvl="5" w:tplc="A9F6EEA0">
      <w:start w:val="1"/>
      <w:numFmt w:val="decimal"/>
      <w:lvlText w:val="%6."/>
      <w:lvlJc w:val="right"/>
      <w:pPr>
        <w:ind w:left="3000" w:hanging="180"/>
      </w:pPr>
    </w:lvl>
    <w:lvl w:ilvl="6" w:tplc="F86288AC">
      <w:start w:val="1"/>
      <w:numFmt w:val="decimal"/>
      <w:lvlText w:val="%7."/>
      <w:lvlJc w:val="right"/>
      <w:pPr>
        <w:ind w:left="3500" w:hanging="180"/>
      </w:pPr>
    </w:lvl>
    <w:lvl w:ilvl="7" w:tplc="8E6EA198">
      <w:start w:val="1"/>
      <w:numFmt w:val="decimal"/>
      <w:lvlText w:val="%8."/>
      <w:lvlJc w:val="right"/>
      <w:pPr>
        <w:ind w:left="4000" w:hanging="180"/>
      </w:pPr>
    </w:lvl>
    <w:lvl w:ilvl="8" w:tplc="D3E8065C">
      <w:start w:val="1"/>
      <w:numFmt w:val="decimal"/>
      <w:lvlText w:val="%9."/>
      <w:lvlJc w:val="right"/>
      <w:pPr>
        <w:ind w:left="4500" w:hanging="180"/>
      </w:pPr>
    </w:lvl>
  </w:abstractNum>
  <w:abstractNum w:abstractNumId="2" w15:restartNumberingAfterBreak="0">
    <w:nsid w:val="085601FB"/>
    <w:multiLevelType w:val="hybridMultilevel"/>
    <w:tmpl w:val="6FBABB24"/>
    <w:name w:val="CPSNumberingScheme"/>
    <w:lvl w:ilvl="0" w:tplc="C840DAFA">
      <w:start w:val="1"/>
      <w:numFmt w:val="decimal"/>
      <w:lvlText w:val="%1."/>
      <w:lvlJc w:val="right"/>
      <w:pPr>
        <w:ind w:left="500" w:hanging="180"/>
      </w:pPr>
    </w:lvl>
    <w:lvl w:ilvl="1" w:tplc="5EF41200">
      <w:start w:val="1"/>
      <w:numFmt w:val="decimal"/>
      <w:lvlText w:val="%2."/>
      <w:lvlJc w:val="right"/>
      <w:pPr>
        <w:ind w:left="1000" w:hanging="180"/>
      </w:pPr>
    </w:lvl>
    <w:lvl w:ilvl="2" w:tplc="D646B226">
      <w:start w:val="1"/>
      <w:numFmt w:val="decimal"/>
      <w:lvlText w:val="%3."/>
      <w:lvlJc w:val="right"/>
      <w:pPr>
        <w:ind w:left="1500" w:hanging="180"/>
      </w:pPr>
    </w:lvl>
    <w:lvl w:ilvl="3" w:tplc="FE080CDE">
      <w:start w:val="1"/>
      <w:numFmt w:val="decimal"/>
      <w:lvlText w:val="%4."/>
      <w:lvlJc w:val="right"/>
      <w:pPr>
        <w:ind w:left="2000" w:hanging="180"/>
      </w:pPr>
    </w:lvl>
    <w:lvl w:ilvl="4" w:tplc="21A4FC06">
      <w:start w:val="1"/>
      <w:numFmt w:val="decimal"/>
      <w:lvlText w:val="%5."/>
      <w:lvlJc w:val="right"/>
      <w:pPr>
        <w:ind w:left="2500" w:hanging="180"/>
      </w:pPr>
    </w:lvl>
    <w:lvl w:ilvl="5" w:tplc="F6A82AE6">
      <w:start w:val="1"/>
      <w:numFmt w:val="decimal"/>
      <w:lvlText w:val="%6."/>
      <w:lvlJc w:val="right"/>
      <w:pPr>
        <w:ind w:left="3000" w:hanging="180"/>
      </w:pPr>
    </w:lvl>
    <w:lvl w:ilvl="6" w:tplc="2CF072EE">
      <w:start w:val="1"/>
      <w:numFmt w:val="decimal"/>
      <w:lvlText w:val="%7."/>
      <w:lvlJc w:val="right"/>
      <w:pPr>
        <w:ind w:left="3500" w:hanging="180"/>
      </w:pPr>
    </w:lvl>
    <w:lvl w:ilvl="7" w:tplc="9732DE70">
      <w:start w:val="1"/>
      <w:numFmt w:val="decimal"/>
      <w:lvlText w:val="%8."/>
      <w:lvlJc w:val="right"/>
      <w:pPr>
        <w:ind w:left="4000" w:hanging="180"/>
      </w:pPr>
    </w:lvl>
    <w:lvl w:ilvl="8" w:tplc="F4DA07BA">
      <w:start w:val="1"/>
      <w:numFmt w:val="decimal"/>
      <w:lvlText w:val="%9."/>
      <w:lvlJc w:val="right"/>
      <w:pPr>
        <w:ind w:left="4500" w:hanging="180"/>
      </w:pPr>
    </w:lvl>
  </w:abstractNum>
  <w:abstractNum w:abstractNumId="3" w15:restartNumberingAfterBreak="0">
    <w:nsid w:val="087533DF"/>
    <w:multiLevelType w:val="hybridMultilevel"/>
    <w:tmpl w:val="7DB4DB9E"/>
    <w:name w:val="CPSNumberingScheme"/>
    <w:lvl w:ilvl="0" w:tplc="F4421988">
      <w:start w:val="1"/>
      <w:numFmt w:val="decimal"/>
      <w:lvlText w:val="%1."/>
      <w:lvlJc w:val="right"/>
      <w:pPr>
        <w:ind w:left="500" w:hanging="180"/>
      </w:pPr>
    </w:lvl>
    <w:lvl w:ilvl="1" w:tplc="C9380FEA">
      <w:start w:val="1"/>
      <w:numFmt w:val="decimal"/>
      <w:lvlText w:val="%2."/>
      <w:lvlJc w:val="right"/>
      <w:pPr>
        <w:ind w:left="1000" w:hanging="180"/>
      </w:pPr>
    </w:lvl>
    <w:lvl w:ilvl="2" w:tplc="E44CD60E">
      <w:start w:val="1"/>
      <w:numFmt w:val="decimal"/>
      <w:lvlText w:val="%3."/>
      <w:lvlJc w:val="right"/>
      <w:pPr>
        <w:ind w:left="1500" w:hanging="180"/>
      </w:pPr>
    </w:lvl>
    <w:lvl w:ilvl="3" w:tplc="64B4D9D8">
      <w:start w:val="1"/>
      <w:numFmt w:val="decimal"/>
      <w:lvlText w:val="%4."/>
      <w:lvlJc w:val="right"/>
      <w:pPr>
        <w:ind w:left="2000" w:hanging="180"/>
      </w:pPr>
    </w:lvl>
    <w:lvl w:ilvl="4" w:tplc="BBBC91B4">
      <w:start w:val="1"/>
      <w:numFmt w:val="decimal"/>
      <w:lvlText w:val="%5."/>
      <w:lvlJc w:val="right"/>
      <w:pPr>
        <w:ind w:left="2500" w:hanging="180"/>
      </w:pPr>
    </w:lvl>
    <w:lvl w:ilvl="5" w:tplc="29249124">
      <w:start w:val="1"/>
      <w:numFmt w:val="decimal"/>
      <w:lvlText w:val="%6."/>
      <w:lvlJc w:val="right"/>
      <w:pPr>
        <w:ind w:left="3000" w:hanging="180"/>
      </w:pPr>
    </w:lvl>
    <w:lvl w:ilvl="6" w:tplc="9DCE81BA">
      <w:start w:val="1"/>
      <w:numFmt w:val="decimal"/>
      <w:lvlText w:val="%7."/>
      <w:lvlJc w:val="right"/>
      <w:pPr>
        <w:ind w:left="3500" w:hanging="180"/>
      </w:pPr>
    </w:lvl>
    <w:lvl w:ilvl="7" w:tplc="32AE9C56">
      <w:start w:val="1"/>
      <w:numFmt w:val="decimal"/>
      <w:lvlText w:val="%8."/>
      <w:lvlJc w:val="right"/>
      <w:pPr>
        <w:ind w:left="4000" w:hanging="180"/>
      </w:pPr>
    </w:lvl>
    <w:lvl w:ilvl="8" w:tplc="FDC04FAE">
      <w:start w:val="1"/>
      <w:numFmt w:val="decimal"/>
      <w:lvlText w:val="%9."/>
      <w:lvlJc w:val="right"/>
      <w:pPr>
        <w:ind w:left="4500" w:hanging="180"/>
      </w:pPr>
    </w:lvl>
  </w:abstractNum>
  <w:abstractNum w:abstractNumId="4" w15:restartNumberingAfterBreak="0">
    <w:nsid w:val="0C3200DD"/>
    <w:multiLevelType w:val="hybridMultilevel"/>
    <w:tmpl w:val="790E6E78"/>
    <w:name w:val="CPSNumberingScheme"/>
    <w:lvl w:ilvl="0" w:tplc="7FCC51F0">
      <w:start w:val="1"/>
      <w:numFmt w:val="decimal"/>
      <w:lvlText w:val="%1."/>
      <w:lvlJc w:val="right"/>
      <w:pPr>
        <w:ind w:left="500" w:hanging="180"/>
      </w:pPr>
    </w:lvl>
    <w:lvl w:ilvl="1" w:tplc="C0DA14FA">
      <w:start w:val="1"/>
      <w:numFmt w:val="decimal"/>
      <w:lvlText w:val="%2."/>
      <w:lvlJc w:val="right"/>
      <w:pPr>
        <w:ind w:left="1000" w:hanging="180"/>
      </w:pPr>
    </w:lvl>
    <w:lvl w:ilvl="2" w:tplc="171AA1FC">
      <w:start w:val="1"/>
      <w:numFmt w:val="decimal"/>
      <w:lvlText w:val="%3."/>
      <w:lvlJc w:val="right"/>
      <w:pPr>
        <w:ind w:left="1500" w:hanging="180"/>
      </w:pPr>
    </w:lvl>
    <w:lvl w:ilvl="3" w:tplc="E59E5DF6">
      <w:start w:val="1"/>
      <w:numFmt w:val="decimal"/>
      <w:lvlText w:val="%4."/>
      <w:lvlJc w:val="right"/>
      <w:pPr>
        <w:ind w:left="2000" w:hanging="180"/>
      </w:pPr>
    </w:lvl>
    <w:lvl w:ilvl="4" w:tplc="FCE6AACC">
      <w:start w:val="1"/>
      <w:numFmt w:val="decimal"/>
      <w:lvlText w:val="%5."/>
      <w:lvlJc w:val="right"/>
      <w:pPr>
        <w:ind w:left="2500" w:hanging="180"/>
      </w:pPr>
    </w:lvl>
    <w:lvl w:ilvl="5" w:tplc="FA4AAD22">
      <w:start w:val="1"/>
      <w:numFmt w:val="decimal"/>
      <w:lvlText w:val="%6."/>
      <w:lvlJc w:val="right"/>
      <w:pPr>
        <w:ind w:left="3000" w:hanging="180"/>
      </w:pPr>
    </w:lvl>
    <w:lvl w:ilvl="6" w:tplc="63C61DD2">
      <w:start w:val="1"/>
      <w:numFmt w:val="decimal"/>
      <w:lvlText w:val="%7."/>
      <w:lvlJc w:val="right"/>
      <w:pPr>
        <w:ind w:left="3500" w:hanging="180"/>
      </w:pPr>
    </w:lvl>
    <w:lvl w:ilvl="7" w:tplc="69AEA560">
      <w:start w:val="1"/>
      <w:numFmt w:val="decimal"/>
      <w:lvlText w:val="%8."/>
      <w:lvlJc w:val="right"/>
      <w:pPr>
        <w:ind w:left="4000" w:hanging="180"/>
      </w:pPr>
    </w:lvl>
    <w:lvl w:ilvl="8" w:tplc="CE6CB89E">
      <w:start w:val="1"/>
      <w:numFmt w:val="decimal"/>
      <w:lvlText w:val="%9."/>
      <w:lvlJc w:val="right"/>
      <w:pPr>
        <w:ind w:left="4500" w:hanging="180"/>
      </w:pPr>
    </w:lvl>
  </w:abstractNum>
  <w:abstractNum w:abstractNumId="5" w15:restartNumberingAfterBreak="0">
    <w:nsid w:val="0E823777"/>
    <w:multiLevelType w:val="hybridMultilevel"/>
    <w:tmpl w:val="0FF6CF0A"/>
    <w:name w:val="CPSNumberingScheme"/>
    <w:lvl w:ilvl="0" w:tplc="3C90C306">
      <w:start w:val="1"/>
      <w:numFmt w:val="decimal"/>
      <w:lvlText w:val="%1."/>
      <w:lvlJc w:val="right"/>
      <w:pPr>
        <w:ind w:left="500" w:hanging="180"/>
      </w:pPr>
    </w:lvl>
    <w:lvl w:ilvl="1" w:tplc="60F2AD72">
      <w:start w:val="1"/>
      <w:numFmt w:val="decimal"/>
      <w:lvlText w:val="%2."/>
      <w:lvlJc w:val="right"/>
      <w:pPr>
        <w:ind w:left="1000" w:hanging="180"/>
      </w:pPr>
    </w:lvl>
    <w:lvl w:ilvl="2" w:tplc="92F684FA">
      <w:start w:val="1"/>
      <w:numFmt w:val="decimal"/>
      <w:lvlText w:val="%3."/>
      <w:lvlJc w:val="right"/>
      <w:pPr>
        <w:ind w:left="1500" w:hanging="180"/>
      </w:pPr>
    </w:lvl>
    <w:lvl w:ilvl="3" w:tplc="F842BD04">
      <w:start w:val="1"/>
      <w:numFmt w:val="decimal"/>
      <w:lvlText w:val="%4."/>
      <w:lvlJc w:val="right"/>
      <w:pPr>
        <w:ind w:left="2000" w:hanging="180"/>
      </w:pPr>
    </w:lvl>
    <w:lvl w:ilvl="4" w:tplc="F23209C4">
      <w:start w:val="1"/>
      <w:numFmt w:val="decimal"/>
      <w:lvlText w:val="%5."/>
      <w:lvlJc w:val="right"/>
      <w:pPr>
        <w:ind w:left="2500" w:hanging="180"/>
      </w:pPr>
    </w:lvl>
    <w:lvl w:ilvl="5" w:tplc="22FEBFA6">
      <w:start w:val="1"/>
      <w:numFmt w:val="decimal"/>
      <w:lvlText w:val="%6."/>
      <w:lvlJc w:val="right"/>
      <w:pPr>
        <w:ind w:left="3000" w:hanging="180"/>
      </w:pPr>
    </w:lvl>
    <w:lvl w:ilvl="6" w:tplc="D936698E">
      <w:start w:val="1"/>
      <w:numFmt w:val="decimal"/>
      <w:lvlText w:val="%7."/>
      <w:lvlJc w:val="right"/>
      <w:pPr>
        <w:ind w:left="3500" w:hanging="180"/>
      </w:pPr>
    </w:lvl>
    <w:lvl w:ilvl="7" w:tplc="E6DC4A4E">
      <w:start w:val="1"/>
      <w:numFmt w:val="decimal"/>
      <w:lvlText w:val="%8."/>
      <w:lvlJc w:val="right"/>
      <w:pPr>
        <w:ind w:left="4000" w:hanging="180"/>
      </w:pPr>
    </w:lvl>
    <w:lvl w:ilvl="8" w:tplc="0BB8E67C">
      <w:start w:val="1"/>
      <w:numFmt w:val="decimal"/>
      <w:lvlText w:val="%9."/>
      <w:lvlJc w:val="right"/>
      <w:pPr>
        <w:ind w:left="4500" w:hanging="180"/>
      </w:pPr>
    </w:lvl>
  </w:abstractNum>
  <w:abstractNum w:abstractNumId="6" w15:restartNumberingAfterBreak="0">
    <w:nsid w:val="11593041"/>
    <w:multiLevelType w:val="hybridMultilevel"/>
    <w:tmpl w:val="DB2E150E"/>
    <w:name w:val="CPSNumberingScheme"/>
    <w:lvl w:ilvl="0" w:tplc="0C50D1C0">
      <w:start w:val="1"/>
      <w:numFmt w:val="decimal"/>
      <w:lvlText w:val="%1."/>
      <w:lvlJc w:val="right"/>
      <w:pPr>
        <w:ind w:left="500" w:hanging="180"/>
      </w:pPr>
    </w:lvl>
    <w:lvl w:ilvl="1" w:tplc="3802F1C4">
      <w:start w:val="1"/>
      <w:numFmt w:val="decimal"/>
      <w:lvlText w:val="%2."/>
      <w:lvlJc w:val="right"/>
      <w:pPr>
        <w:ind w:left="1000" w:hanging="180"/>
      </w:pPr>
    </w:lvl>
    <w:lvl w:ilvl="2" w:tplc="9A263B4E">
      <w:start w:val="1"/>
      <w:numFmt w:val="decimal"/>
      <w:lvlText w:val="%3."/>
      <w:lvlJc w:val="right"/>
      <w:pPr>
        <w:ind w:left="1500" w:hanging="180"/>
      </w:pPr>
    </w:lvl>
    <w:lvl w:ilvl="3" w:tplc="879AA1D0">
      <w:start w:val="1"/>
      <w:numFmt w:val="decimal"/>
      <w:lvlText w:val="%4."/>
      <w:lvlJc w:val="right"/>
      <w:pPr>
        <w:ind w:left="2000" w:hanging="180"/>
      </w:pPr>
    </w:lvl>
    <w:lvl w:ilvl="4" w:tplc="49AE0DA4">
      <w:start w:val="1"/>
      <w:numFmt w:val="decimal"/>
      <w:lvlText w:val="%5."/>
      <w:lvlJc w:val="right"/>
      <w:pPr>
        <w:ind w:left="2500" w:hanging="180"/>
      </w:pPr>
    </w:lvl>
    <w:lvl w:ilvl="5" w:tplc="9FC8418C">
      <w:start w:val="1"/>
      <w:numFmt w:val="decimal"/>
      <w:lvlText w:val="%6."/>
      <w:lvlJc w:val="right"/>
      <w:pPr>
        <w:ind w:left="3000" w:hanging="180"/>
      </w:pPr>
    </w:lvl>
    <w:lvl w:ilvl="6" w:tplc="232493E2">
      <w:start w:val="1"/>
      <w:numFmt w:val="decimal"/>
      <w:lvlText w:val="%7."/>
      <w:lvlJc w:val="right"/>
      <w:pPr>
        <w:ind w:left="3500" w:hanging="180"/>
      </w:pPr>
    </w:lvl>
    <w:lvl w:ilvl="7" w:tplc="C69A751E">
      <w:start w:val="1"/>
      <w:numFmt w:val="decimal"/>
      <w:lvlText w:val="%8."/>
      <w:lvlJc w:val="right"/>
      <w:pPr>
        <w:ind w:left="4000" w:hanging="180"/>
      </w:pPr>
    </w:lvl>
    <w:lvl w:ilvl="8" w:tplc="72140B3A">
      <w:start w:val="1"/>
      <w:numFmt w:val="decimal"/>
      <w:lvlText w:val="%9."/>
      <w:lvlJc w:val="right"/>
      <w:pPr>
        <w:ind w:left="4500" w:hanging="180"/>
      </w:pPr>
    </w:lvl>
  </w:abstractNum>
  <w:abstractNum w:abstractNumId="7" w15:restartNumberingAfterBreak="0">
    <w:nsid w:val="13751E45"/>
    <w:multiLevelType w:val="hybridMultilevel"/>
    <w:tmpl w:val="C7C0C264"/>
    <w:name w:val="CPSNumberingScheme"/>
    <w:lvl w:ilvl="0" w:tplc="1310AA6E">
      <w:start w:val="1"/>
      <w:numFmt w:val="decimal"/>
      <w:lvlText w:val="%1."/>
      <w:lvlJc w:val="right"/>
      <w:pPr>
        <w:ind w:left="500" w:hanging="180"/>
      </w:pPr>
    </w:lvl>
    <w:lvl w:ilvl="1" w:tplc="B33A4CBA">
      <w:start w:val="1"/>
      <w:numFmt w:val="decimal"/>
      <w:lvlText w:val="%2."/>
      <w:lvlJc w:val="right"/>
      <w:pPr>
        <w:ind w:left="1000" w:hanging="180"/>
      </w:pPr>
    </w:lvl>
    <w:lvl w:ilvl="2" w:tplc="0344C538">
      <w:start w:val="1"/>
      <w:numFmt w:val="decimal"/>
      <w:lvlText w:val="%3."/>
      <w:lvlJc w:val="right"/>
      <w:pPr>
        <w:ind w:left="1500" w:hanging="180"/>
      </w:pPr>
    </w:lvl>
    <w:lvl w:ilvl="3" w:tplc="AEB848B6">
      <w:start w:val="1"/>
      <w:numFmt w:val="decimal"/>
      <w:lvlText w:val="%4."/>
      <w:lvlJc w:val="right"/>
      <w:pPr>
        <w:ind w:left="2000" w:hanging="180"/>
      </w:pPr>
    </w:lvl>
    <w:lvl w:ilvl="4" w:tplc="E556C142">
      <w:start w:val="1"/>
      <w:numFmt w:val="decimal"/>
      <w:lvlText w:val="%5."/>
      <w:lvlJc w:val="right"/>
      <w:pPr>
        <w:ind w:left="2500" w:hanging="180"/>
      </w:pPr>
    </w:lvl>
    <w:lvl w:ilvl="5" w:tplc="B5064914">
      <w:start w:val="1"/>
      <w:numFmt w:val="decimal"/>
      <w:lvlText w:val="%6."/>
      <w:lvlJc w:val="right"/>
      <w:pPr>
        <w:ind w:left="3000" w:hanging="180"/>
      </w:pPr>
    </w:lvl>
    <w:lvl w:ilvl="6" w:tplc="00BEF1F6">
      <w:start w:val="1"/>
      <w:numFmt w:val="decimal"/>
      <w:lvlText w:val="%7."/>
      <w:lvlJc w:val="right"/>
      <w:pPr>
        <w:ind w:left="3500" w:hanging="180"/>
      </w:pPr>
    </w:lvl>
    <w:lvl w:ilvl="7" w:tplc="1AB62F46">
      <w:start w:val="1"/>
      <w:numFmt w:val="decimal"/>
      <w:lvlText w:val="%8."/>
      <w:lvlJc w:val="right"/>
      <w:pPr>
        <w:ind w:left="4000" w:hanging="180"/>
      </w:pPr>
    </w:lvl>
    <w:lvl w:ilvl="8" w:tplc="F1447D00">
      <w:start w:val="1"/>
      <w:numFmt w:val="decimal"/>
      <w:lvlText w:val="%9."/>
      <w:lvlJc w:val="right"/>
      <w:pPr>
        <w:ind w:left="4500" w:hanging="180"/>
      </w:pPr>
    </w:lvl>
  </w:abstractNum>
  <w:abstractNum w:abstractNumId="8" w15:restartNumberingAfterBreak="0">
    <w:nsid w:val="18064400"/>
    <w:multiLevelType w:val="hybridMultilevel"/>
    <w:tmpl w:val="CF6AD66A"/>
    <w:name w:val="CPSNumberingScheme"/>
    <w:lvl w:ilvl="0" w:tplc="23EED04E">
      <w:start w:val="1"/>
      <w:numFmt w:val="decimal"/>
      <w:lvlText w:val="%1."/>
      <w:lvlJc w:val="right"/>
      <w:pPr>
        <w:ind w:left="500" w:hanging="180"/>
      </w:pPr>
    </w:lvl>
    <w:lvl w:ilvl="1" w:tplc="BC523646">
      <w:start w:val="1"/>
      <w:numFmt w:val="decimal"/>
      <w:lvlText w:val="%2."/>
      <w:lvlJc w:val="right"/>
      <w:pPr>
        <w:ind w:left="1000" w:hanging="180"/>
      </w:pPr>
    </w:lvl>
    <w:lvl w:ilvl="2" w:tplc="A35A2E62">
      <w:start w:val="1"/>
      <w:numFmt w:val="decimal"/>
      <w:lvlText w:val="%3."/>
      <w:lvlJc w:val="right"/>
      <w:pPr>
        <w:ind w:left="1500" w:hanging="180"/>
      </w:pPr>
    </w:lvl>
    <w:lvl w:ilvl="3" w:tplc="B63EFEBC">
      <w:start w:val="1"/>
      <w:numFmt w:val="decimal"/>
      <w:lvlText w:val="%4."/>
      <w:lvlJc w:val="right"/>
      <w:pPr>
        <w:ind w:left="2000" w:hanging="180"/>
      </w:pPr>
    </w:lvl>
    <w:lvl w:ilvl="4" w:tplc="24A68096">
      <w:start w:val="1"/>
      <w:numFmt w:val="decimal"/>
      <w:lvlText w:val="%5."/>
      <w:lvlJc w:val="right"/>
      <w:pPr>
        <w:ind w:left="2500" w:hanging="180"/>
      </w:pPr>
    </w:lvl>
    <w:lvl w:ilvl="5" w:tplc="5C56DF70">
      <w:start w:val="1"/>
      <w:numFmt w:val="decimal"/>
      <w:lvlText w:val="%6."/>
      <w:lvlJc w:val="right"/>
      <w:pPr>
        <w:ind w:left="3000" w:hanging="180"/>
      </w:pPr>
    </w:lvl>
    <w:lvl w:ilvl="6" w:tplc="6A605AD0">
      <w:start w:val="1"/>
      <w:numFmt w:val="decimal"/>
      <w:lvlText w:val="%7."/>
      <w:lvlJc w:val="right"/>
      <w:pPr>
        <w:ind w:left="3500" w:hanging="180"/>
      </w:pPr>
    </w:lvl>
    <w:lvl w:ilvl="7" w:tplc="45B81D62">
      <w:start w:val="1"/>
      <w:numFmt w:val="decimal"/>
      <w:lvlText w:val="%8."/>
      <w:lvlJc w:val="right"/>
      <w:pPr>
        <w:ind w:left="4000" w:hanging="180"/>
      </w:pPr>
    </w:lvl>
    <w:lvl w:ilvl="8" w:tplc="A9AEE76C">
      <w:start w:val="1"/>
      <w:numFmt w:val="decimal"/>
      <w:lvlText w:val="%9."/>
      <w:lvlJc w:val="right"/>
      <w:pPr>
        <w:ind w:left="4500" w:hanging="180"/>
      </w:pPr>
    </w:lvl>
  </w:abstractNum>
  <w:abstractNum w:abstractNumId="9" w15:restartNumberingAfterBreak="0">
    <w:nsid w:val="19811102"/>
    <w:multiLevelType w:val="hybridMultilevel"/>
    <w:tmpl w:val="5CD615DE"/>
    <w:name w:val="CPSNumberingScheme"/>
    <w:lvl w:ilvl="0" w:tplc="2362CCDE">
      <w:start w:val="1"/>
      <w:numFmt w:val="decimal"/>
      <w:lvlText w:val="%1."/>
      <w:lvlJc w:val="right"/>
      <w:pPr>
        <w:ind w:left="500" w:hanging="180"/>
      </w:pPr>
    </w:lvl>
    <w:lvl w:ilvl="1" w:tplc="EBAA5716">
      <w:start w:val="1"/>
      <w:numFmt w:val="decimal"/>
      <w:pStyle w:val="BulletParagraphLevel2"/>
      <w:lvlText w:val="%2."/>
      <w:lvlJc w:val="right"/>
      <w:pPr>
        <w:ind w:left="1000" w:hanging="180"/>
      </w:pPr>
    </w:lvl>
    <w:lvl w:ilvl="2" w:tplc="58288948">
      <w:start w:val="1"/>
      <w:numFmt w:val="decimal"/>
      <w:lvlText w:val="%3."/>
      <w:lvlJc w:val="right"/>
      <w:pPr>
        <w:ind w:left="1500" w:hanging="180"/>
      </w:pPr>
    </w:lvl>
    <w:lvl w:ilvl="3" w:tplc="25768F22">
      <w:start w:val="1"/>
      <w:numFmt w:val="decimal"/>
      <w:lvlText w:val="%4."/>
      <w:lvlJc w:val="right"/>
      <w:pPr>
        <w:ind w:left="2000" w:hanging="180"/>
      </w:pPr>
    </w:lvl>
    <w:lvl w:ilvl="4" w:tplc="AE6C1C20">
      <w:start w:val="1"/>
      <w:numFmt w:val="decimal"/>
      <w:lvlText w:val="%5."/>
      <w:lvlJc w:val="right"/>
      <w:pPr>
        <w:ind w:left="2500" w:hanging="180"/>
      </w:pPr>
    </w:lvl>
    <w:lvl w:ilvl="5" w:tplc="43707996">
      <w:start w:val="1"/>
      <w:numFmt w:val="decimal"/>
      <w:lvlText w:val="%6."/>
      <w:lvlJc w:val="right"/>
      <w:pPr>
        <w:ind w:left="3000" w:hanging="180"/>
      </w:pPr>
    </w:lvl>
    <w:lvl w:ilvl="6" w:tplc="E066248A">
      <w:start w:val="1"/>
      <w:numFmt w:val="decimal"/>
      <w:lvlText w:val="%7."/>
      <w:lvlJc w:val="right"/>
      <w:pPr>
        <w:ind w:left="3500" w:hanging="180"/>
      </w:pPr>
    </w:lvl>
    <w:lvl w:ilvl="7" w:tplc="30A46BE4">
      <w:start w:val="1"/>
      <w:numFmt w:val="decimal"/>
      <w:lvlText w:val="%8."/>
      <w:lvlJc w:val="right"/>
      <w:pPr>
        <w:ind w:left="4000" w:hanging="180"/>
      </w:pPr>
    </w:lvl>
    <w:lvl w:ilvl="8" w:tplc="7D14E2AA">
      <w:start w:val="1"/>
      <w:numFmt w:val="decimal"/>
      <w:lvlText w:val="%9."/>
      <w:lvlJc w:val="right"/>
      <w:pPr>
        <w:ind w:left="4500" w:hanging="180"/>
      </w:pPr>
    </w:lvl>
  </w:abstractNum>
  <w:abstractNum w:abstractNumId="10" w15:restartNumberingAfterBreak="0">
    <w:nsid w:val="1FA70E0E"/>
    <w:multiLevelType w:val="hybridMultilevel"/>
    <w:tmpl w:val="E91441C0"/>
    <w:name w:val="CPSNumberingScheme"/>
    <w:lvl w:ilvl="0" w:tplc="DAAC747C">
      <w:start w:val="1"/>
      <w:numFmt w:val="decimal"/>
      <w:lvlText w:val="%1."/>
      <w:lvlJc w:val="right"/>
      <w:pPr>
        <w:ind w:left="500" w:hanging="180"/>
      </w:pPr>
    </w:lvl>
    <w:lvl w:ilvl="1" w:tplc="17CC63F2">
      <w:start w:val="1"/>
      <w:numFmt w:val="decimal"/>
      <w:lvlText w:val="%2."/>
      <w:lvlJc w:val="right"/>
      <w:pPr>
        <w:ind w:left="1000" w:hanging="180"/>
      </w:pPr>
    </w:lvl>
    <w:lvl w:ilvl="2" w:tplc="D4F8A8A2">
      <w:start w:val="1"/>
      <w:numFmt w:val="decimal"/>
      <w:lvlText w:val="%3."/>
      <w:lvlJc w:val="right"/>
      <w:pPr>
        <w:ind w:left="1500" w:hanging="180"/>
      </w:pPr>
    </w:lvl>
    <w:lvl w:ilvl="3" w:tplc="CD00072E">
      <w:start w:val="1"/>
      <w:numFmt w:val="decimal"/>
      <w:lvlText w:val="%4."/>
      <w:lvlJc w:val="right"/>
      <w:pPr>
        <w:ind w:left="2000" w:hanging="180"/>
      </w:pPr>
    </w:lvl>
    <w:lvl w:ilvl="4" w:tplc="CC5EDB44">
      <w:start w:val="1"/>
      <w:numFmt w:val="decimal"/>
      <w:lvlText w:val="%5."/>
      <w:lvlJc w:val="right"/>
      <w:pPr>
        <w:ind w:left="2500" w:hanging="180"/>
      </w:pPr>
    </w:lvl>
    <w:lvl w:ilvl="5" w:tplc="41A4C11C">
      <w:start w:val="1"/>
      <w:numFmt w:val="decimal"/>
      <w:lvlText w:val="%6."/>
      <w:lvlJc w:val="right"/>
      <w:pPr>
        <w:ind w:left="3000" w:hanging="180"/>
      </w:pPr>
    </w:lvl>
    <w:lvl w:ilvl="6" w:tplc="C5E22C80">
      <w:start w:val="1"/>
      <w:numFmt w:val="decimal"/>
      <w:lvlText w:val="%7."/>
      <w:lvlJc w:val="right"/>
      <w:pPr>
        <w:ind w:left="3500" w:hanging="180"/>
      </w:pPr>
    </w:lvl>
    <w:lvl w:ilvl="7" w:tplc="70F039FE">
      <w:start w:val="1"/>
      <w:numFmt w:val="decimal"/>
      <w:lvlText w:val="%8."/>
      <w:lvlJc w:val="right"/>
      <w:pPr>
        <w:ind w:left="4000" w:hanging="180"/>
      </w:pPr>
    </w:lvl>
    <w:lvl w:ilvl="8" w:tplc="3C4A6518">
      <w:start w:val="1"/>
      <w:numFmt w:val="decimal"/>
      <w:lvlText w:val="%9."/>
      <w:lvlJc w:val="right"/>
      <w:pPr>
        <w:ind w:left="4500" w:hanging="180"/>
      </w:pPr>
    </w:lvl>
  </w:abstractNum>
  <w:abstractNum w:abstractNumId="11" w15:restartNumberingAfterBreak="0">
    <w:nsid w:val="21880AAB"/>
    <w:multiLevelType w:val="hybridMultilevel"/>
    <w:tmpl w:val="D698375C"/>
    <w:name w:val="CPSNumberingScheme"/>
    <w:lvl w:ilvl="0" w:tplc="50B49968">
      <w:start w:val="1"/>
      <w:numFmt w:val="decimal"/>
      <w:lvlText w:val="%1."/>
      <w:lvlJc w:val="right"/>
      <w:pPr>
        <w:ind w:left="500" w:hanging="180"/>
      </w:pPr>
    </w:lvl>
    <w:lvl w:ilvl="1" w:tplc="B804E4BE">
      <w:start w:val="1"/>
      <w:numFmt w:val="decimal"/>
      <w:lvlText w:val="%2."/>
      <w:lvlJc w:val="right"/>
      <w:pPr>
        <w:ind w:left="1000" w:hanging="180"/>
      </w:pPr>
    </w:lvl>
    <w:lvl w:ilvl="2" w:tplc="CCD0E410">
      <w:start w:val="1"/>
      <w:numFmt w:val="decimal"/>
      <w:lvlText w:val="%3."/>
      <w:lvlJc w:val="right"/>
      <w:pPr>
        <w:ind w:left="1500" w:hanging="180"/>
      </w:pPr>
    </w:lvl>
    <w:lvl w:ilvl="3" w:tplc="CDA4867A">
      <w:start w:val="1"/>
      <w:numFmt w:val="decimal"/>
      <w:lvlText w:val="%4."/>
      <w:lvlJc w:val="right"/>
      <w:pPr>
        <w:ind w:left="2000" w:hanging="180"/>
      </w:pPr>
    </w:lvl>
    <w:lvl w:ilvl="4" w:tplc="751AFF8A">
      <w:start w:val="1"/>
      <w:numFmt w:val="decimal"/>
      <w:lvlText w:val="%5."/>
      <w:lvlJc w:val="right"/>
      <w:pPr>
        <w:ind w:left="2500" w:hanging="180"/>
      </w:pPr>
    </w:lvl>
    <w:lvl w:ilvl="5" w:tplc="002E1F12">
      <w:start w:val="1"/>
      <w:numFmt w:val="decimal"/>
      <w:lvlText w:val="%6."/>
      <w:lvlJc w:val="right"/>
      <w:pPr>
        <w:ind w:left="3000" w:hanging="180"/>
      </w:pPr>
    </w:lvl>
    <w:lvl w:ilvl="6" w:tplc="3F7A87B6">
      <w:start w:val="1"/>
      <w:numFmt w:val="decimal"/>
      <w:lvlText w:val="%7."/>
      <w:lvlJc w:val="right"/>
      <w:pPr>
        <w:ind w:left="3500" w:hanging="180"/>
      </w:pPr>
    </w:lvl>
    <w:lvl w:ilvl="7" w:tplc="DDBAC10C">
      <w:start w:val="1"/>
      <w:numFmt w:val="decimal"/>
      <w:lvlText w:val="%8."/>
      <w:lvlJc w:val="right"/>
      <w:pPr>
        <w:ind w:left="4000" w:hanging="180"/>
      </w:pPr>
    </w:lvl>
    <w:lvl w:ilvl="8" w:tplc="7BCCD18C">
      <w:start w:val="1"/>
      <w:numFmt w:val="decimal"/>
      <w:lvlText w:val="%9."/>
      <w:lvlJc w:val="right"/>
      <w:pPr>
        <w:ind w:left="4500" w:hanging="180"/>
      </w:pPr>
    </w:lvl>
  </w:abstractNum>
  <w:abstractNum w:abstractNumId="12" w15:restartNumberingAfterBreak="0">
    <w:nsid w:val="21D406E6"/>
    <w:multiLevelType w:val="hybridMultilevel"/>
    <w:tmpl w:val="9A5E8A0C"/>
    <w:name w:val="CPSNumberingScheme"/>
    <w:lvl w:ilvl="0" w:tplc="6D8E4F3A">
      <w:start w:val="1"/>
      <w:numFmt w:val="decimal"/>
      <w:lvlText w:val="%1."/>
      <w:lvlJc w:val="right"/>
      <w:pPr>
        <w:ind w:left="500" w:hanging="180"/>
      </w:pPr>
    </w:lvl>
    <w:lvl w:ilvl="1" w:tplc="BB10D54E">
      <w:start w:val="1"/>
      <w:numFmt w:val="decimal"/>
      <w:lvlText w:val="%2."/>
      <w:lvlJc w:val="right"/>
      <w:pPr>
        <w:ind w:left="1000" w:hanging="180"/>
      </w:pPr>
    </w:lvl>
    <w:lvl w:ilvl="2" w:tplc="CD9C8614">
      <w:start w:val="1"/>
      <w:numFmt w:val="decimal"/>
      <w:lvlText w:val="%3."/>
      <w:lvlJc w:val="right"/>
      <w:pPr>
        <w:ind w:left="1500" w:hanging="180"/>
      </w:pPr>
    </w:lvl>
    <w:lvl w:ilvl="3" w:tplc="19AE72F2">
      <w:start w:val="1"/>
      <w:numFmt w:val="decimal"/>
      <w:lvlText w:val="%4."/>
      <w:lvlJc w:val="right"/>
      <w:pPr>
        <w:ind w:left="2000" w:hanging="180"/>
      </w:pPr>
    </w:lvl>
    <w:lvl w:ilvl="4" w:tplc="1FCC216A">
      <w:start w:val="1"/>
      <w:numFmt w:val="decimal"/>
      <w:lvlText w:val="%5."/>
      <w:lvlJc w:val="right"/>
      <w:pPr>
        <w:ind w:left="2500" w:hanging="180"/>
      </w:pPr>
    </w:lvl>
    <w:lvl w:ilvl="5" w:tplc="2C68107A">
      <w:start w:val="1"/>
      <w:numFmt w:val="decimal"/>
      <w:lvlText w:val="%6."/>
      <w:lvlJc w:val="right"/>
      <w:pPr>
        <w:ind w:left="3000" w:hanging="180"/>
      </w:pPr>
    </w:lvl>
    <w:lvl w:ilvl="6" w:tplc="89E81B88">
      <w:start w:val="1"/>
      <w:numFmt w:val="decimal"/>
      <w:lvlText w:val="%7."/>
      <w:lvlJc w:val="right"/>
      <w:pPr>
        <w:ind w:left="3500" w:hanging="180"/>
      </w:pPr>
    </w:lvl>
    <w:lvl w:ilvl="7" w:tplc="A4C460BC">
      <w:start w:val="1"/>
      <w:numFmt w:val="decimal"/>
      <w:lvlText w:val="%8."/>
      <w:lvlJc w:val="right"/>
      <w:pPr>
        <w:ind w:left="4000" w:hanging="180"/>
      </w:pPr>
    </w:lvl>
    <w:lvl w:ilvl="8" w:tplc="74F8CA44">
      <w:start w:val="1"/>
      <w:numFmt w:val="decimal"/>
      <w:lvlText w:val="%9."/>
      <w:lvlJc w:val="right"/>
      <w:pPr>
        <w:ind w:left="4500" w:hanging="180"/>
      </w:pPr>
    </w:lvl>
  </w:abstractNum>
  <w:abstractNum w:abstractNumId="13" w15:restartNumberingAfterBreak="0">
    <w:nsid w:val="2778580A"/>
    <w:multiLevelType w:val="hybridMultilevel"/>
    <w:tmpl w:val="69F0B71A"/>
    <w:name w:val="CPSNumberingScheme"/>
    <w:lvl w:ilvl="0" w:tplc="D2B2844E">
      <w:start w:val="1"/>
      <w:numFmt w:val="decimal"/>
      <w:lvlText w:val="%1."/>
      <w:lvlJc w:val="right"/>
      <w:pPr>
        <w:ind w:left="500" w:hanging="180"/>
      </w:pPr>
    </w:lvl>
    <w:lvl w:ilvl="1" w:tplc="4A1A597A">
      <w:start w:val="1"/>
      <w:numFmt w:val="decimal"/>
      <w:lvlText w:val="%2."/>
      <w:lvlJc w:val="right"/>
      <w:pPr>
        <w:ind w:left="1000" w:hanging="180"/>
      </w:pPr>
    </w:lvl>
    <w:lvl w:ilvl="2" w:tplc="17FC9A58">
      <w:start w:val="1"/>
      <w:numFmt w:val="decimal"/>
      <w:lvlText w:val="%3."/>
      <w:lvlJc w:val="right"/>
      <w:pPr>
        <w:ind w:left="1500" w:hanging="180"/>
      </w:pPr>
    </w:lvl>
    <w:lvl w:ilvl="3" w:tplc="C8141FA4">
      <w:start w:val="1"/>
      <w:numFmt w:val="decimal"/>
      <w:lvlText w:val="%4."/>
      <w:lvlJc w:val="right"/>
      <w:pPr>
        <w:ind w:left="2000" w:hanging="180"/>
      </w:pPr>
    </w:lvl>
    <w:lvl w:ilvl="4" w:tplc="5B78A80A">
      <w:start w:val="1"/>
      <w:numFmt w:val="decimal"/>
      <w:lvlText w:val="%5."/>
      <w:lvlJc w:val="right"/>
      <w:pPr>
        <w:ind w:left="2500" w:hanging="180"/>
      </w:pPr>
    </w:lvl>
    <w:lvl w:ilvl="5" w:tplc="00E23B6C">
      <w:start w:val="1"/>
      <w:numFmt w:val="decimal"/>
      <w:lvlText w:val="%6."/>
      <w:lvlJc w:val="right"/>
      <w:pPr>
        <w:ind w:left="3000" w:hanging="180"/>
      </w:pPr>
    </w:lvl>
    <w:lvl w:ilvl="6" w:tplc="11C62A98">
      <w:start w:val="1"/>
      <w:numFmt w:val="decimal"/>
      <w:lvlText w:val="%7."/>
      <w:lvlJc w:val="right"/>
      <w:pPr>
        <w:ind w:left="3500" w:hanging="180"/>
      </w:pPr>
    </w:lvl>
    <w:lvl w:ilvl="7" w:tplc="6A525042">
      <w:start w:val="1"/>
      <w:numFmt w:val="decimal"/>
      <w:lvlText w:val="%8."/>
      <w:lvlJc w:val="right"/>
      <w:pPr>
        <w:ind w:left="4000" w:hanging="180"/>
      </w:pPr>
    </w:lvl>
    <w:lvl w:ilvl="8" w:tplc="530ECFE6">
      <w:start w:val="1"/>
      <w:numFmt w:val="decimal"/>
      <w:lvlText w:val="%9."/>
      <w:lvlJc w:val="right"/>
      <w:pPr>
        <w:ind w:left="4500" w:hanging="180"/>
      </w:pPr>
    </w:lvl>
  </w:abstractNum>
  <w:abstractNum w:abstractNumId="14" w15:restartNumberingAfterBreak="0">
    <w:nsid w:val="29611C46"/>
    <w:multiLevelType w:val="hybridMultilevel"/>
    <w:tmpl w:val="AE58E3C4"/>
    <w:name w:val="CPSNumberingScheme"/>
    <w:lvl w:ilvl="0" w:tplc="6B3A277C">
      <w:start w:val="1"/>
      <w:numFmt w:val="decimal"/>
      <w:lvlText w:val="%1."/>
      <w:lvlJc w:val="right"/>
      <w:pPr>
        <w:ind w:left="500" w:hanging="180"/>
      </w:pPr>
    </w:lvl>
    <w:lvl w:ilvl="1" w:tplc="191A7022">
      <w:start w:val="1"/>
      <w:numFmt w:val="decimal"/>
      <w:lvlText w:val="%2."/>
      <w:lvlJc w:val="right"/>
      <w:pPr>
        <w:ind w:left="1000" w:hanging="180"/>
      </w:pPr>
    </w:lvl>
    <w:lvl w:ilvl="2" w:tplc="347E10B0">
      <w:start w:val="1"/>
      <w:numFmt w:val="decimal"/>
      <w:lvlText w:val="%3."/>
      <w:lvlJc w:val="right"/>
      <w:pPr>
        <w:ind w:left="1500" w:hanging="180"/>
      </w:pPr>
    </w:lvl>
    <w:lvl w:ilvl="3" w:tplc="A42EE1B4">
      <w:start w:val="1"/>
      <w:numFmt w:val="decimal"/>
      <w:lvlText w:val="%4."/>
      <w:lvlJc w:val="right"/>
      <w:pPr>
        <w:ind w:left="2000" w:hanging="180"/>
      </w:pPr>
    </w:lvl>
    <w:lvl w:ilvl="4" w:tplc="3B3852F6">
      <w:start w:val="1"/>
      <w:numFmt w:val="decimal"/>
      <w:lvlText w:val="%5."/>
      <w:lvlJc w:val="right"/>
      <w:pPr>
        <w:ind w:left="2500" w:hanging="180"/>
      </w:pPr>
    </w:lvl>
    <w:lvl w:ilvl="5" w:tplc="28989CDC">
      <w:start w:val="1"/>
      <w:numFmt w:val="decimal"/>
      <w:lvlText w:val="%6."/>
      <w:lvlJc w:val="right"/>
      <w:pPr>
        <w:ind w:left="3000" w:hanging="180"/>
      </w:pPr>
    </w:lvl>
    <w:lvl w:ilvl="6" w:tplc="4FF4DC66">
      <w:start w:val="1"/>
      <w:numFmt w:val="decimal"/>
      <w:lvlText w:val="%7."/>
      <w:lvlJc w:val="right"/>
      <w:pPr>
        <w:ind w:left="3500" w:hanging="180"/>
      </w:pPr>
    </w:lvl>
    <w:lvl w:ilvl="7" w:tplc="ADD659EA">
      <w:start w:val="1"/>
      <w:numFmt w:val="decimal"/>
      <w:lvlText w:val="%8."/>
      <w:lvlJc w:val="right"/>
      <w:pPr>
        <w:ind w:left="4000" w:hanging="180"/>
      </w:pPr>
    </w:lvl>
    <w:lvl w:ilvl="8" w:tplc="EF4E20A8">
      <w:start w:val="1"/>
      <w:numFmt w:val="decimal"/>
      <w:lvlText w:val="%9."/>
      <w:lvlJc w:val="right"/>
      <w:pPr>
        <w:ind w:left="4500" w:hanging="180"/>
      </w:pPr>
    </w:lvl>
  </w:abstractNum>
  <w:abstractNum w:abstractNumId="15" w15:restartNumberingAfterBreak="0">
    <w:nsid w:val="2B67425F"/>
    <w:multiLevelType w:val="hybridMultilevel"/>
    <w:tmpl w:val="F47CE702"/>
    <w:name w:val="CPSNumberingScheme"/>
    <w:lvl w:ilvl="0" w:tplc="BC8E32F0">
      <w:start w:val="1"/>
      <w:numFmt w:val="decimal"/>
      <w:pStyle w:val="BulletParagraph"/>
      <w:lvlText w:val="%1."/>
      <w:lvlJc w:val="right"/>
      <w:pPr>
        <w:ind w:left="500" w:hanging="180"/>
      </w:pPr>
    </w:lvl>
    <w:lvl w:ilvl="1" w:tplc="88709886">
      <w:start w:val="1"/>
      <w:numFmt w:val="decimal"/>
      <w:lvlText w:val="%2."/>
      <w:lvlJc w:val="right"/>
      <w:pPr>
        <w:ind w:left="1000" w:hanging="180"/>
      </w:pPr>
    </w:lvl>
    <w:lvl w:ilvl="2" w:tplc="B34C0724">
      <w:start w:val="1"/>
      <w:numFmt w:val="decimal"/>
      <w:lvlText w:val="%3."/>
      <w:lvlJc w:val="right"/>
      <w:pPr>
        <w:ind w:left="1500" w:hanging="180"/>
      </w:pPr>
    </w:lvl>
    <w:lvl w:ilvl="3" w:tplc="731A112E">
      <w:start w:val="1"/>
      <w:numFmt w:val="decimal"/>
      <w:lvlText w:val="%4."/>
      <w:lvlJc w:val="right"/>
      <w:pPr>
        <w:ind w:left="2000" w:hanging="180"/>
      </w:pPr>
    </w:lvl>
    <w:lvl w:ilvl="4" w:tplc="5DFAA7A4">
      <w:start w:val="1"/>
      <w:numFmt w:val="decimal"/>
      <w:lvlText w:val="%5."/>
      <w:lvlJc w:val="right"/>
      <w:pPr>
        <w:ind w:left="2500" w:hanging="180"/>
      </w:pPr>
    </w:lvl>
    <w:lvl w:ilvl="5" w:tplc="E57EC2EA">
      <w:start w:val="1"/>
      <w:numFmt w:val="decimal"/>
      <w:lvlText w:val="%6."/>
      <w:lvlJc w:val="right"/>
      <w:pPr>
        <w:ind w:left="3000" w:hanging="180"/>
      </w:pPr>
    </w:lvl>
    <w:lvl w:ilvl="6" w:tplc="03DC855C">
      <w:start w:val="1"/>
      <w:numFmt w:val="decimal"/>
      <w:lvlText w:val="%7."/>
      <w:lvlJc w:val="right"/>
      <w:pPr>
        <w:ind w:left="3500" w:hanging="180"/>
      </w:pPr>
    </w:lvl>
    <w:lvl w:ilvl="7" w:tplc="B14C58F8">
      <w:start w:val="1"/>
      <w:numFmt w:val="decimal"/>
      <w:lvlText w:val="%8."/>
      <w:lvlJc w:val="right"/>
      <w:pPr>
        <w:ind w:left="4000" w:hanging="180"/>
      </w:pPr>
    </w:lvl>
    <w:lvl w:ilvl="8" w:tplc="A34063B4">
      <w:start w:val="1"/>
      <w:numFmt w:val="decimal"/>
      <w:lvlText w:val="%9."/>
      <w:lvlJc w:val="right"/>
      <w:pPr>
        <w:ind w:left="4500" w:hanging="180"/>
      </w:pPr>
    </w:lvl>
  </w:abstractNum>
  <w:abstractNum w:abstractNumId="16" w15:restartNumberingAfterBreak="0">
    <w:nsid w:val="2BD13D4D"/>
    <w:multiLevelType w:val="hybridMultilevel"/>
    <w:tmpl w:val="EFB0EC7A"/>
    <w:name w:val="CPSNumberingScheme"/>
    <w:lvl w:ilvl="0" w:tplc="A5D67FE6">
      <w:start w:val="1"/>
      <w:numFmt w:val="decimal"/>
      <w:lvlText w:val="%1."/>
      <w:lvlJc w:val="right"/>
      <w:pPr>
        <w:ind w:left="500" w:hanging="180"/>
      </w:pPr>
    </w:lvl>
    <w:lvl w:ilvl="1" w:tplc="34C60DA0">
      <w:start w:val="1"/>
      <w:numFmt w:val="decimal"/>
      <w:lvlText w:val="%2."/>
      <w:lvlJc w:val="right"/>
      <w:pPr>
        <w:ind w:left="1000" w:hanging="180"/>
      </w:pPr>
    </w:lvl>
    <w:lvl w:ilvl="2" w:tplc="0F60576E">
      <w:start w:val="1"/>
      <w:numFmt w:val="decimal"/>
      <w:lvlText w:val="%3."/>
      <w:lvlJc w:val="right"/>
      <w:pPr>
        <w:ind w:left="1500" w:hanging="180"/>
      </w:pPr>
    </w:lvl>
    <w:lvl w:ilvl="3" w:tplc="8702BF6C">
      <w:start w:val="1"/>
      <w:numFmt w:val="decimal"/>
      <w:lvlText w:val="%4."/>
      <w:lvlJc w:val="right"/>
      <w:pPr>
        <w:ind w:left="2000" w:hanging="180"/>
      </w:pPr>
    </w:lvl>
    <w:lvl w:ilvl="4" w:tplc="34E20F6E">
      <w:start w:val="1"/>
      <w:numFmt w:val="decimal"/>
      <w:lvlText w:val="%5."/>
      <w:lvlJc w:val="right"/>
      <w:pPr>
        <w:ind w:left="2500" w:hanging="180"/>
      </w:pPr>
    </w:lvl>
    <w:lvl w:ilvl="5" w:tplc="4A60BF34">
      <w:start w:val="1"/>
      <w:numFmt w:val="decimal"/>
      <w:lvlText w:val="%6."/>
      <w:lvlJc w:val="right"/>
      <w:pPr>
        <w:ind w:left="3000" w:hanging="180"/>
      </w:pPr>
    </w:lvl>
    <w:lvl w:ilvl="6" w:tplc="A5263B1A">
      <w:start w:val="1"/>
      <w:numFmt w:val="decimal"/>
      <w:lvlText w:val="%7."/>
      <w:lvlJc w:val="right"/>
      <w:pPr>
        <w:ind w:left="3500" w:hanging="180"/>
      </w:pPr>
    </w:lvl>
    <w:lvl w:ilvl="7" w:tplc="AF361A7A">
      <w:start w:val="1"/>
      <w:numFmt w:val="decimal"/>
      <w:lvlText w:val="%8."/>
      <w:lvlJc w:val="right"/>
      <w:pPr>
        <w:ind w:left="4000" w:hanging="180"/>
      </w:pPr>
    </w:lvl>
    <w:lvl w:ilvl="8" w:tplc="310E4C2C">
      <w:start w:val="1"/>
      <w:numFmt w:val="decimal"/>
      <w:lvlText w:val="%9."/>
      <w:lvlJc w:val="right"/>
      <w:pPr>
        <w:ind w:left="4500" w:hanging="180"/>
      </w:pPr>
    </w:lvl>
  </w:abstractNum>
  <w:abstractNum w:abstractNumId="17" w15:restartNumberingAfterBreak="0">
    <w:nsid w:val="2D166A93"/>
    <w:multiLevelType w:val="hybridMultilevel"/>
    <w:tmpl w:val="98602288"/>
    <w:name w:val="CPSNumberingScheme"/>
    <w:lvl w:ilvl="0" w:tplc="3AAEA266">
      <w:start w:val="1"/>
      <w:numFmt w:val="decimal"/>
      <w:lvlText w:val="%1."/>
      <w:lvlJc w:val="right"/>
      <w:pPr>
        <w:ind w:left="500" w:hanging="180"/>
      </w:pPr>
    </w:lvl>
    <w:lvl w:ilvl="1" w:tplc="ACE43E92">
      <w:start w:val="1"/>
      <w:numFmt w:val="decimal"/>
      <w:lvlText w:val="%2."/>
      <w:lvlJc w:val="right"/>
      <w:pPr>
        <w:ind w:left="1000" w:hanging="180"/>
      </w:pPr>
    </w:lvl>
    <w:lvl w:ilvl="2" w:tplc="D2BAAFAC">
      <w:start w:val="1"/>
      <w:numFmt w:val="decimal"/>
      <w:lvlText w:val="%3."/>
      <w:lvlJc w:val="right"/>
      <w:pPr>
        <w:ind w:left="1500" w:hanging="180"/>
      </w:pPr>
    </w:lvl>
    <w:lvl w:ilvl="3" w:tplc="FFAE746A">
      <w:start w:val="1"/>
      <w:numFmt w:val="decimal"/>
      <w:lvlText w:val="%4."/>
      <w:lvlJc w:val="right"/>
      <w:pPr>
        <w:ind w:left="2000" w:hanging="180"/>
      </w:pPr>
    </w:lvl>
    <w:lvl w:ilvl="4" w:tplc="870C5A22">
      <w:start w:val="1"/>
      <w:numFmt w:val="decimal"/>
      <w:lvlText w:val="%5."/>
      <w:lvlJc w:val="right"/>
      <w:pPr>
        <w:ind w:left="2500" w:hanging="180"/>
      </w:pPr>
    </w:lvl>
    <w:lvl w:ilvl="5" w:tplc="5532DB56">
      <w:start w:val="1"/>
      <w:numFmt w:val="decimal"/>
      <w:lvlText w:val="%6."/>
      <w:lvlJc w:val="right"/>
      <w:pPr>
        <w:ind w:left="3000" w:hanging="180"/>
      </w:pPr>
    </w:lvl>
    <w:lvl w:ilvl="6" w:tplc="14EC055A">
      <w:start w:val="1"/>
      <w:numFmt w:val="decimal"/>
      <w:lvlText w:val="%7."/>
      <w:lvlJc w:val="right"/>
      <w:pPr>
        <w:ind w:left="3500" w:hanging="180"/>
      </w:pPr>
    </w:lvl>
    <w:lvl w:ilvl="7" w:tplc="B9FA4174">
      <w:start w:val="1"/>
      <w:numFmt w:val="decimal"/>
      <w:lvlText w:val="%8."/>
      <w:lvlJc w:val="right"/>
      <w:pPr>
        <w:ind w:left="4000" w:hanging="180"/>
      </w:pPr>
    </w:lvl>
    <w:lvl w:ilvl="8" w:tplc="737A986C">
      <w:start w:val="1"/>
      <w:numFmt w:val="decimal"/>
      <w:lvlText w:val="%9."/>
      <w:lvlJc w:val="right"/>
      <w:pPr>
        <w:ind w:left="4500" w:hanging="180"/>
      </w:pPr>
    </w:lvl>
  </w:abstractNum>
  <w:abstractNum w:abstractNumId="18" w15:restartNumberingAfterBreak="0">
    <w:nsid w:val="2E942CA0"/>
    <w:multiLevelType w:val="hybridMultilevel"/>
    <w:tmpl w:val="4860F1B6"/>
    <w:name w:val="CPSNumberingScheme"/>
    <w:lvl w:ilvl="0" w:tplc="96EEAE6E">
      <w:start w:val="1"/>
      <w:numFmt w:val="decimal"/>
      <w:lvlText w:val="%1."/>
      <w:lvlJc w:val="right"/>
      <w:pPr>
        <w:ind w:left="500" w:hanging="180"/>
      </w:pPr>
    </w:lvl>
    <w:lvl w:ilvl="1" w:tplc="5A2A8F1A">
      <w:start w:val="1"/>
      <w:numFmt w:val="decimal"/>
      <w:lvlText w:val="%2."/>
      <w:lvlJc w:val="right"/>
      <w:pPr>
        <w:ind w:left="1000" w:hanging="180"/>
      </w:pPr>
    </w:lvl>
    <w:lvl w:ilvl="2" w:tplc="5C3619D2">
      <w:start w:val="1"/>
      <w:numFmt w:val="decimal"/>
      <w:lvlText w:val="%3."/>
      <w:lvlJc w:val="right"/>
      <w:pPr>
        <w:ind w:left="1500" w:hanging="180"/>
      </w:pPr>
    </w:lvl>
    <w:lvl w:ilvl="3" w:tplc="F99692EE">
      <w:start w:val="1"/>
      <w:numFmt w:val="decimal"/>
      <w:lvlText w:val="%4."/>
      <w:lvlJc w:val="right"/>
      <w:pPr>
        <w:ind w:left="2000" w:hanging="180"/>
      </w:pPr>
    </w:lvl>
    <w:lvl w:ilvl="4" w:tplc="3B047800">
      <w:start w:val="1"/>
      <w:numFmt w:val="decimal"/>
      <w:lvlText w:val="%5."/>
      <w:lvlJc w:val="right"/>
      <w:pPr>
        <w:ind w:left="2500" w:hanging="180"/>
      </w:pPr>
    </w:lvl>
    <w:lvl w:ilvl="5" w:tplc="093C98A8">
      <w:start w:val="1"/>
      <w:numFmt w:val="decimal"/>
      <w:lvlText w:val="%6."/>
      <w:lvlJc w:val="right"/>
      <w:pPr>
        <w:ind w:left="3000" w:hanging="180"/>
      </w:pPr>
    </w:lvl>
    <w:lvl w:ilvl="6" w:tplc="01EC045E">
      <w:start w:val="1"/>
      <w:numFmt w:val="decimal"/>
      <w:lvlText w:val="%7."/>
      <w:lvlJc w:val="right"/>
      <w:pPr>
        <w:ind w:left="3500" w:hanging="180"/>
      </w:pPr>
    </w:lvl>
    <w:lvl w:ilvl="7" w:tplc="E6D65300">
      <w:start w:val="1"/>
      <w:numFmt w:val="decimal"/>
      <w:lvlText w:val="%8."/>
      <w:lvlJc w:val="right"/>
      <w:pPr>
        <w:ind w:left="4000" w:hanging="180"/>
      </w:pPr>
    </w:lvl>
    <w:lvl w:ilvl="8" w:tplc="B56EC1FE">
      <w:start w:val="1"/>
      <w:numFmt w:val="decimal"/>
      <w:lvlText w:val="%9."/>
      <w:lvlJc w:val="right"/>
      <w:pPr>
        <w:ind w:left="4500" w:hanging="180"/>
      </w:pPr>
    </w:lvl>
  </w:abstractNum>
  <w:abstractNum w:abstractNumId="19" w15:restartNumberingAfterBreak="0">
    <w:nsid w:val="31B0620E"/>
    <w:multiLevelType w:val="hybridMultilevel"/>
    <w:tmpl w:val="F75650D2"/>
    <w:name w:val="CPSNumberingScheme"/>
    <w:lvl w:ilvl="0" w:tplc="DA1AA07A">
      <w:start w:val="1"/>
      <w:numFmt w:val="decimal"/>
      <w:lvlText w:val="%1."/>
      <w:lvlJc w:val="right"/>
      <w:pPr>
        <w:ind w:left="500" w:hanging="180"/>
      </w:pPr>
    </w:lvl>
    <w:lvl w:ilvl="1" w:tplc="F6049366">
      <w:start w:val="1"/>
      <w:numFmt w:val="decimal"/>
      <w:lvlText w:val="%2."/>
      <w:lvlJc w:val="right"/>
      <w:pPr>
        <w:ind w:left="1000" w:hanging="180"/>
      </w:pPr>
    </w:lvl>
    <w:lvl w:ilvl="2" w:tplc="5656886E">
      <w:start w:val="1"/>
      <w:numFmt w:val="decimal"/>
      <w:lvlText w:val="%3."/>
      <w:lvlJc w:val="right"/>
      <w:pPr>
        <w:ind w:left="1500" w:hanging="180"/>
      </w:pPr>
    </w:lvl>
    <w:lvl w:ilvl="3" w:tplc="88ACA392">
      <w:start w:val="1"/>
      <w:numFmt w:val="decimal"/>
      <w:lvlText w:val="%4."/>
      <w:lvlJc w:val="right"/>
      <w:pPr>
        <w:ind w:left="2000" w:hanging="180"/>
      </w:pPr>
    </w:lvl>
    <w:lvl w:ilvl="4" w:tplc="8BD61D34">
      <w:start w:val="1"/>
      <w:numFmt w:val="decimal"/>
      <w:lvlText w:val="%5."/>
      <w:lvlJc w:val="right"/>
      <w:pPr>
        <w:ind w:left="2500" w:hanging="180"/>
      </w:pPr>
    </w:lvl>
    <w:lvl w:ilvl="5" w:tplc="AF34F3C4">
      <w:start w:val="1"/>
      <w:numFmt w:val="decimal"/>
      <w:lvlText w:val="%6."/>
      <w:lvlJc w:val="right"/>
      <w:pPr>
        <w:ind w:left="3000" w:hanging="180"/>
      </w:pPr>
    </w:lvl>
    <w:lvl w:ilvl="6" w:tplc="3F785092">
      <w:start w:val="1"/>
      <w:numFmt w:val="decimal"/>
      <w:lvlText w:val="%7."/>
      <w:lvlJc w:val="right"/>
      <w:pPr>
        <w:ind w:left="3500" w:hanging="180"/>
      </w:pPr>
    </w:lvl>
    <w:lvl w:ilvl="7" w:tplc="5D6C96F2">
      <w:start w:val="1"/>
      <w:numFmt w:val="decimal"/>
      <w:lvlText w:val="%8."/>
      <w:lvlJc w:val="right"/>
      <w:pPr>
        <w:ind w:left="4000" w:hanging="180"/>
      </w:pPr>
    </w:lvl>
    <w:lvl w:ilvl="8" w:tplc="2B585BD2">
      <w:start w:val="1"/>
      <w:numFmt w:val="decimal"/>
      <w:lvlText w:val="%9."/>
      <w:lvlJc w:val="right"/>
      <w:pPr>
        <w:ind w:left="4500" w:hanging="180"/>
      </w:pPr>
    </w:lvl>
  </w:abstractNum>
  <w:abstractNum w:abstractNumId="20" w15:restartNumberingAfterBreak="0">
    <w:nsid w:val="31FF2EB7"/>
    <w:multiLevelType w:val="hybridMultilevel"/>
    <w:tmpl w:val="CD7A7416"/>
    <w:name w:val="CPSNumberingScheme"/>
    <w:lvl w:ilvl="0" w:tplc="F566F2F6">
      <w:start w:val="1"/>
      <w:numFmt w:val="decimal"/>
      <w:lvlText w:val="%1."/>
      <w:lvlJc w:val="right"/>
      <w:pPr>
        <w:ind w:left="500" w:hanging="180"/>
      </w:pPr>
    </w:lvl>
    <w:lvl w:ilvl="1" w:tplc="467C66C6">
      <w:start w:val="1"/>
      <w:numFmt w:val="decimal"/>
      <w:lvlText w:val="%2."/>
      <w:lvlJc w:val="right"/>
      <w:pPr>
        <w:ind w:left="1000" w:hanging="180"/>
      </w:pPr>
    </w:lvl>
    <w:lvl w:ilvl="2" w:tplc="115EA376">
      <w:start w:val="1"/>
      <w:numFmt w:val="decimal"/>
      <w:lvlText w:val="%3."/>
      <w:lvlJc w:val="right"/>
      <w:pPr>
        <w:ind w:left="1500" w:hanging="180"/>
      </w:pPr>
    </w:lvl>
    <w:lvl w:ilvl="3" w:tplc="66180E20">
      <w:start w:val="1"/>
      <w:numFmt w:val="decimal"/>
      <w:lvlText w:val="%4."/>
      <w:lvlJc w:val="right"/>
      <w:pPr>
        <w:ind w:left="2000" w:hanging="180"/>
      </w:pPr>
    </w:lvl>
    <w:lvl w:ilvl="4" w:tplc="221858A0">
      <w:start w:val="1"/>
      <w:numFmt w:val="decimal"/>
      <w:lvlText w:val="%5."/>
      <w:lvlJc w:val="right"/>
      <w:pPr>
        <w:ind w:left="2500" w:hanging="180"/>
      </w:pPr>
    </w:lvl>
    <w:lvl w:ilvl="5" w:tplc="630AE078">
      <w:start w:val="1"/>
      <w:numFmt w:val="decimal"/>
      <w:lvlText w:val="%6."/>
      <w:lvlJc w:val="right"/>
      <w:pPr>
        <w:ind w:left="3000" w:hanging="180"/>
      </w:pPr>
    </w:lvl>
    <w:lvl w:ilvl="6" w:tplc="072A53A6">
      <w:start w:val="1"/>
      <w:numFmt w:val="decimal"/>
      <w:lvlText w:val="%7."/>
      <w:lvlJc w:val="right"/>
      <w:pPr>
        <w:ind w:left="3500" w:hanging="180"/>
      </w:pPr>
    </w:lvl>
    <w:lvl w:ilvl="7" w:tplc="8F6CA9B2">
      <w:start w:val="1"/>
      <w:numFmt w:val="decimal"/>
      <w:lvlText w:val="%8."/>
      <w:lvlJc w:val="right"/>
      <w:pPr>
        <w:ind w:left="4000" w:hanging="180"/>
      </w:pPr>
    </w:lvl>
    <w:lvl w:ilvl="8" w:tplc="8D7A1992">
      <w:start w:val="1"/>
      <w:numFmt w:val="decimal"/>
      <w:lvlText w:val="%9."/>
      <w:lvlJc w:val="right"/>
      <w:pPr>
        <w:ind w:left="4500" w:hanging="180"/>
      </w:pPr>
    </w:lvl>
  </w:abstractNum>
  <w:abstractNum w:abstractNumId="21" w15:restartNumberingAfterBreak="0">
    <w:nsid w:val="35750A9C"/>
    <w:multiLevelType w:val="hybridMultilevel"/>
    <w:tmpl w:val="8DDC9602"/>
    <w:name w:val="CPSNumberingScheme"/>
    <w:lvl w:ilvl="0" w:tplc="598824A2">
      <w:start w:val="1"/>
      <w:numFmt w:val="decimal"/>
      <w:lvlText w:val="%1."/>
      <w:lvlJc w:val="right"/>
      <w:pPr>
        <w:ind w:left="500" w:hanging="180"/>
      </w:pPr>
    </w:lvl>
    <w:lvl w:ilvl="1" w:tplc="A600FDFE">
      <w:start w:val="1"/>
      <w:numFmt w:val="decimal"/>
      <w:lvlText w:val="%2."/>
      <w:lvlJc w:val="right"/>
      <w:pPr>
        <w:ind w:left="1000" w:hanging="180"/>
      </w:pPr>
    </w:lvl>
    <w:lvl w:ilvl="2" w:tplc="AF0E5628">
      <w:start w:val="1"/>
      <w:numFmt w:val="decimal"/>
      <w:lvlText w:val="%3."/>
      <w:lvlJc w:val="right"/>
      <w:pPr>
        <w:ind w:left="1500" w:hanging="180"/>
      </w:pPr>
    </w:lvl>
    <w:lvl w:ilvl="3" w:tplc="9434F964">
      <w:start w:val="1"/>
      <w:numFmt w:val="decimal"/>
      <w:lvlText w:val="%4."/>
      <w:lvlJc w:val="right"/>
      <w:pPr>
        <w:ind w:left="2000" w:hanging="180"/>
      </w:pPr>
    </w:lvl>
    <w:lvl w:ilvl="4" w:tplc="3D929EDC">
      <w:start w:val="1"/>
      <w:numFmt w:val="decimal"/>
      <w:lvlText w:val="%5."/>
      <w:lvlJc w:val="right"/>
      <w:pPr>
        <w:ind w:left="2500" w:hanging="180"/>
      </w:pPr>
    </w:lvl>
    <w:lvl w:ilvl="5" w:tplc="EE782348">
      <w:start w:val="1"/>
      <w:numFmt w:val="decimal"/>
      <w:lvlText w:val="%6."/>
      <w:lvlJc w:val="right"/>
      <w:pPr>
        <w:ind w:left="3000" w:hanging="180"/>
      </w:pPr>
    </w:lvl>
    <w:lvl w:ilvl="6" w:tplc="E60ACD1C">
      <w:start w:val="1"/>
      <w:numFmt w:val="decimal"/>
      <w:lvlText w:val="%7."/>
      <w:lvlJc w:val="right"/>
      <w:pPr>
        <w:ind w:left="3500" w:hanging="180"/>
      </w:pPr>
    </w:lvl>
    <w:lvl w:ilvl="7" w:tplc="554E1250">
      <w:start w:val="1"/>
      <w:numFmt w:val="decimal"/>
      <w:lvlText w:val="%8."/>
      <w:lvlJc w:val="right"/>
      <w:pPr>
        <w:ind w:left="4000" w:hanging="180"/>
      </w:pPr>
    </w:lvl>
    <w:lvl w:ilvl="8" w:tplc="DF601148">
      <w:start w:val="1"/>
      <w:numFmt w:val="decimal"/>
      <w:lvlText w:val="%9."/>
      <w:lvlJc w:val="right"/>
      <w:pPr>
        <w:ind w:left="4500" w:hanging="180"/>
      </w:pPr>
    </w:lvl>
  </w:abstractNum>
  <w:abstractNum w:abstractNumId="22" w15:restartNumberingAfterBreak="0">
    <w:nsid w:val="36F6286D"/>
    <w:multiLevelType w:val="hybridMultilevel"/>
    <w:tmpl w:val="2702F606"/>
    <w:name w:val="CPSNumberingScheme"/>
    <w:lvl w:ilvl="0" w:tplc="DBC6ED74">
      <w:start w:val="1"/>
      <w:numFmt w:val="decimal"/>
      <w:lvlText w:val="%1."/>
      <w:lvlJc w:val="right"/>
      <w:pPr>
        <w:ind w:left="500" w:hanging="180"/>
      </w:pPr>
    </w:lvl>
    <w:lvl w:ilvl="1" w:tplc="1A3CE340">
      <w:start w:val="1"/>
      <w:numFmt w:val="decimal"/>
      <w:lvlText w:val="%2."/>
      <w:lvlJc w:val="right"/>
      <w:pPr>
        <w:ind w:left="1000" w:hanging="180"/>
      </w:pPr>
    </w:lvl>
    <w:lvl w:ilvl="2" w:tplc="D0E2EDDE">
      <w:start w:val="1"/>
      <w:numFmt w:val="decimal"/>
      <w:lvlText w:val="%3."/>
      <w:lvlJc w:val="right"/>
      <w:pPr>
        <w:ind w:left="1500" w:hanging="180"/>
      </w:pPr>
    </w:lvl>
    <w:lvl w:ilvl="3" w:tplc="EA323D28">
      <w:start w:val="1"/>
      <w:numFmt w:val="decimal"/>
      <w:lvlText w:val="%4."/>
      <w:lvlJc w:val="right"/>
      <w:pPr>
        <w:ind w:left="2000" w:hanging="180"/>
      </w:pPr>
    </w:lvl>
    <w:lvl w:ilvl="4" w:tplc="890AA8E0">
      <w:start w:val="1"/>
      <w:numFmt w:val="decimal"/>
      <w:lvlText w:val="%5."/>
      <w:lvlJc w:val="right"/>
      <w:pPr>
        <w:ind w:left="2500" w:hanging="180"/>
      </w:pPr>
    </w:lvl>
    <w:lvl w:ilvl="5" w:tplc="3E522D7A">
      <w:start w:val="1"/>
      <w:numFmt w:val="decimal"/>
      <w:lvlText w:val="%6."/>
      <w:lvlJc w:val="right"/>
      <w:pPr>
        <w:ind w:left="3000" w:hanging="180"/>
      </w:pPr>
    </w:lvl>
    <w:lvl w:ilvl="6" w:tplc="01ACA018">
      <w:start w:val="1"/>
      <w:numFmt w:val="decimal"/>
      <w:lvlText w:val="%7."/>
      <w:lvlJc w:val="right"/>
      <w:pPr>
        <w:ind w:left="3500" w:hanging="180"/>
      </w:pPr>
    </w:lvl>
    <w:lvl w:ilvl="7" w:tplc="2F925DCE">
      <w:start w:val="1"/>
      <w:numFmt w:val="decimal"/>
      <w:lvlText w:val="%8."/>
      <w:lvlJc w:val="right"/>
      <w:pPr>
        <w:ind w:left="4000" w:hanging="180"/>
      </w:pPr>
    </w:lvl>
    <w:lvl w:ilvl="8" w:tplc="39B42136">
      <w:start w:val="1"/>
      <w:numFmt w:val="decimal"/>
      <w:lvlText w:val="%9."/>
      <w:lvlJc w:val="right"/>
      <w:pPr>
        <w:ind w:left="4500" w:hanging="180"/>
      </w:pPr>
    </w:lvl>
  </w:abstractNum>
  <w:abstractNum w:abstractNumId="23" w15:restartNumberingAfterBreak="0">
    <w:nsid w:val="38F01AFE"/>
    <w:multiLevelType w:val="hybridMultilevel"/>
    <w:tmpl w:val="86225DAA"/>
    <w:name w:val="CPSNumberingScheme"/>
    <w:lvl w:ilvl="0" w:tplc="C45CAEA0">
      <w:start w:val="1"/>
      <w:numFmt w:val="decimal"/>
      <w:lvlText w:val="%1."/>
      <w:lvlJc w:val="right"/>
      <w:pPr>
        <w:ind w:left="500" w:hanging="180"/>
      </w:pPr>
    </w:lvl>
    <w:lvl w:ilvl="1" w:tplc="9BEADAE8">
      <w:start w:val="1"/>
      <w:numFmt w:val="decimal"/>
      <w:lvlText w:val="%2."/>
      <w:lvlJc w:val="right"/>
      <w:pPr>
        <w:ind w:left="1000" w:hanging="180"/>
      </w:pPr>
    </w:lvl>
    <w:lvl w:ilvl="2" w:tplc="AAFC270E">
      <w:start w:val="1"/>
      <w:numFmt w:val="decimal"/>
      <w:lvlText w:val="%3."/>
      <w:lvlJc w:val="right"/>
      <w:pPr>
        <w:ind w:left="1500" w:hanging="180"/>
      </w:pPr>
    </w:lvl>
    <w:lvl w:ilvl="3" w:tplc="B8E6097E">
      <w:start w:val="1"/>
      <w:numFmt w:val="decimal"/>
      <w:lvlText w:val="%4."/>
      <w:lvlJc w:val="right"/>
      <w:pPr>
        <w:ind w:left="2000" w:hanging="180"/>
      </w:pPr>
    </w:lvl>
    <w:lvl w:ilvl="4" w:tplc="6CCEB73C">
      <w:start w:val="1"/>
      <w:numFmt w:val="decimal"/>
      <w:lvlText w:val="%5."/>
      <w:lvlJc w:val="right"/>
      <w:pPr>
        <w:ind w:left="2500" w:hanging="180"/>
      </w:pPr>
    </w:lvl>
    <w:lvl w:ilvl="5" w:tplc="F29046C8">
      <w:start w:val="1"/>
      <w:numFmt w:val="decimal"/>
      <w:lvlText w:val="%6."/>
      <w:lvlJc w:val="right"/>
      <w:pPr>
        <w:ind w:left="3000" w:hanging="180"/>
      </w:pPr>
    </w:lvl>
    <w:lvl w:ilvl="6" w:tplc="F120D710">
      <w:start w:val="1"/>
      <w:numFmt w:val="decimal"/>
      <w:lvlText w:val="%7."/>
      <w:lvlJc w:val="right"/>
      <w:pPr>
        <w:ind w:left="3500" w:hanging="180"/>
      </w:pPr>
    </w:lvl>
    <w:lvl w:ilvl="7" w:tplc="13E8007A">
      <w:start w:val="1"/>
      <w:numFmt w:val="decimal"/>
      <w:lvlText w:val="%8."/>
      <w:lvlJc w:val="right"/>
      <w:pPr>
        <w:ind w:left="4000" w:hanging="180"/>
      </w:pPr>
    </w:lvl>
    <w:lvl w:ilvl="8" w:tplc="9C724264">
      <w:start w:val="1"/>
      <w:numFmt w:val="decimal"/>
      <w:lvlText w:val="%9."/>
      <w:lvlJc w:val="right"/>
      <w:pPr>
        <w:ind w:left="4500" w:hanging="180"/>
      </w:pPr>
    </w:lvl>
  </w:abstractNum>
  <w:abstractNum w:abstractNumId="24" w15:restartNumberingAfterBreak="0">
    <w:nsid w:val="39507CFD"/>
    <w:multiLevelType w:val="hybridMultilevel"/>
    <w:tmpl w:val="91F28A4C"/>
    <w:name w:val="CPSNumberingScheme"/>
    <w:lvl w:ilvl="0" w:tplc="053892A0">
      <w:start w:val="1"/>
      <w:numFmt w:val="decimal"/>
      <w:lvlText w:val="%1."/>
      <w:lvlJc w:val="right"/>
      <w:pPr>
        <w:ind w:left="500" w:hanging="180"/>
      </w:pPr>
    </w:lvl>
    <w:lvl w:ilvl="1" w:tplc="845EA628">
      <w:start w:val="1"/>
      <w:numFmt w:val="decimal"/>
      <w:lvlText w:val="%2."/>
      <w:lvlJc w:val="right"/>
      <w:pPr>
        <w:ind w:left="1000" w:hanging="180"/>
      </w:pPr>
    </w:lvl>
    <w:lvl w:ilvl="2" w:tplc="FC946B82">
      <w:start w:val="1"/>
      <w:numFmt w:val="decimal"/>
      <w:lvlText w:val="%3."/>
      <w:lvlJc w:val="right"/>
      <w:pPr>
        <w:ind w:left="1500" w:hanging="180"/>
      </w:pPr>
    </w:lvl>
    <w:lvl w:ilvl="3" w:tplc="B8426434">
      <w:start w:val="1"/>
      <w:numFmt w:val="decimal"/>
      <w:lvlText w:val="%4."/>
      <w:lvlJc w:val="right"/>
      <w:pPr>
        <w:ind w:left="2000" w:hanging="180"/>
      </w:pPr>
    </w:lvl>
    <w:lvl w:ilvl="4" w:tplc="A0705492">
      <w:start w:val="1"/>
      <w:numFmt w:val="decimal"/>
      <w:lvlText w:val="%5."/>
      <w:lvlJc w:val="right"/>
      <w:pPr>
        <w:ind w:left="2500" w:hanging="180"/>
      </w:pPr>
    </w:lvl>
    <w:lvl w:ilvl="5" w:tplc="D214F272">
      <w:start w:val="1"/>
      <w:numFmt w:val="decimal"/>
      <w:lvlText w:val="%6."/>
      <w:lvlJc w:val="right"/>
      <w:pPr>
        <w:ind w:left="3000" w:hanging="180"/>
      </w:pPr>
    </w:lvl>
    <w:lvl w:ilvl="6" w:tplc="C1847562">
      <w:start w:val="1"/>
      <w:numFmt w:val="decimal"/>
      <w:lvlText w:val="%7."/>
      <w:lvlJc w:val="right"/>
      <w:pPr>
        <w:ind w:left="3500" w:hanging="180"/>
      </w:pPr>
    </w:lvl>
    <w:lvl w:ilvl="7" w:tplc="8CAE75EA">
      <w:start w:val="1"/>
      <w:numFmt w:val="decimal"/>
      <w:lvlText w:val="%8."/>
      <w:lvlJc w:val="right"/>
      <w:pPr>
        <w:ind w:left="4000" w:hanging="180"/>
      </w:pPr>
    </w:lvl>
    <w:lvl w:ilvl="8" w:tplc="F702AE24">
      <w:start w:val="1"/>
      <w:numFmt w:val="decimal"/>
      <w:lvlText w:val="%9."/>
      <w:lvlJc w:val="right"/>
      <w:pPr>
        <w:ind w:left="4500" w:hanging="180"/>
      </w:pPr>
    </w:lvl>
  </w:abstractNum>
  <w:abstractNum w:abstractNumId="25" w15:restartNumberingAfterBreak="0">
    <w:nsid w:val="3A615D59"/>
    <w:multiLevelType w:val="hybridMultilevel"/>
    <w:tmpl w:val="B3847FB8"/>
    <w:name w:val="CPSNumberingScheme"/>
    <w:lvl w:ilvl="0" w:tplc="580AE3B8">
      <w:start w:val="1"/>
      <w:numFmt w:val="decimal"/>
      <w:lvlText w:val="%1."/>
      <w:lvlJc w:val="right"/>
      <w:pPr>
        <w:ind w:left="500" w:hanging="180"/>
      </w:pPr>
    </w:lvl>
    <w:lvl w:ilvl="1" w:tplc="8EBEABBC">
      <w:start w:val="1"/>
      <w:numFmt w:val="decimal"/>
      <w:lvlText w:val="%2."/>
      <w:lvlJc w:val="right"/>
      <w:pPr>
        <w:ind w:left="1000" w:hanging="180"/>
      </w:pPr>
    </w:lvl>
    <w:lvl w:ilvl="2" w:tplc="DADA69D4">
      <w:start w:val="1"/>
      <w:numFmt w:val="decimal"/>
      <w:lvlText w:val="%3."/>
      <w:lvlJc w:val="right"/>
      <w:pPr>
        <w:ind w:left="1500" w:hanging="180"/>
      </w:pPr>
    </w:lvl>
    <w:lvl w:ilvl="3" w:tplc="8B20AD5A">
      <w:start w:val="1"/>
      <w:numFmt w:val="decimal"/>
      <w:lvlText w:val="%4."/>
      <w:lvlJc w:val="right"/>
      <w:pPr>
        <w:ind w:left="2000" w:hanging="180"/>
      </w:pPr>
    </w:lvl>
    <w:lvl w:ilvl="4" w:tplc="0A76AD92">
      <w:start w:val="1"/>
      <w:numFmt w:val="decimal"/>
      <w:lvlText w:val="%5."/>
      <w:lvlJc w:val="right"/>
      <w:pPr>
        <w:ind w:left="2500" w:hanging="180"/>
      </w:pPr>
    </w:lvl>
    <w:lvl w:ilvl="5" w:tplc="37AC09AE">
      <w:start w:val="1"/>
      <w:numFmt w:val="decimal"/>
      <w:lvlText w:val="%6."/>
      <w:lvlJc w:val="right"/>
      <w:pPr>
        <w:ind w:left="3000" w:hanging="180"/>
      </w:pPr>
    </w:lvl>
    <w:lvl w:ilvl="6" w:tplc="B41AF146">
      <w:start w:val="1"/>
      <w:numFmt w:val="decimal"/>
      <w:lvlText w:val="%7."/>
      <w:lvlJc w:val="right"/>
      <w:pPr>
        <w:ind w:left="3500" w:hanging="180"/>
      </w:pPr>
    </w:lvl>
    <w:lvl w:ilvl="7" w:tplc="C0448A92">
      <w:start w:val="1"/>
      <w:numFmt w:val="decimal"/>
      <w:lvlText w:val="%8."/>
      <w:lvlJc w:val="right"/>
      <w:pPr>
        <w:ind w:left="4000" w:hanging="180"/>
      </w:pPr>
    </w:lvl>
    <w:lvl w:ilvl="8" w:tplc="A05A128A">
      <w:start w:val="1"/>
      <w:numFmt w:val="decimal"/>
      <w:lvlText w:val="%9."/>
      <w:lvlJc w:val="right"/>
      <w:pPr>
        <w:ind w:left="4500" w:hanging="180"/>
      </w:pPr>
    </w:lvl>
  </w:abstractNum>
  <w:abstractNum w:abstractNumId="26" w15:restartNumberingAfterBreak="0">
    <w:nsid w:val="3BA43A8B"/>
    <w:multiLevelType w:val="hybridMultilevel"/>
    <w:tmpl w:val="62AA71CC"/>
    <w:name w:val="CPSNumberingScheme"/>
    <w:lvl w:ilvl="0" w:tplc="044A0550">
      <w:start w:val="1"/>
      <w:numFmt w:val="decimal"/>
      <w:lvlText w:val="%1."/>
      <w:lvlJc w:val="right"/>
      <w:pPr>
        <w:ind w:left="500" w:hanging="180"/>
      </w:pPr>
    </w:lvl>
    <w:lvl w:ilvl="1" w:tplc="4F3053B2">
      <w:start w:val="1"/>
      <w:numFmt w:val="decimal"/>
      <w:lvlText w:val="%2."/>
      <w:lvlJc w:val="right"/>
      <w:pPr>
        <w:ind w:left="1000" w:hanging="180"/>
      </w:pPr>
    </w:lvl>
    <w:lvl w:ilvl="2" w:tplc="64963EC4">
      <w:start w:val="1"/>
      <w:numFmt w:val="decimal"/>
      <w:lvlText w:val="%3."/>
      <w:lvlJc w:val="right"/>
      <w:pPr>
        <w:ind w:left="1500" w:hanging="180"/>
      </w:pPr>
    </w:lvl>
    <w:lvl w:ilvl="3" w:tplc="539617B2">
      <w:start w:val="1"/>
      <w:numFmt w:val="decimal"/>
      <w:lvlText w:val="%4."/>
      <w:lvlJc w:val="right"/>
      <w:pPr>
        <w:ind w:left="2000" w:hanging="180"/>
      </w:pPr>
    </w:lvl>
    <w:lvl w:ilvl="4" w:tplc="889A0954">
      <w:start w:val="1"/>
      <w:numFmt w:val="decimal"/>
      <w:lvlText w:val="%5."/>
      <w:lvlJc w:val="right"/>
      <w:pPr>
        <w:ind w:left="2500" w:hanging="180"/>
      </w:pPr>
    </w:lvl>
    <w:lvl w:ilvl="5" w:tplc="5BAA022C">
      <w:start w:val="1"/>
      <w:numFmt w:val="decimal"/>
      <w:lvlText w:val="%6."/>
      <w:lvlJc w:val="right"/>
      <w:pPr>
        <w:ind w:left="3000" w:hanging="180"/>
      </w:pPr>
    </w:lvl>
    <w:lvl w:ilvl="6" w:tplc="ADAC2954">
      <w:start w:val="1"/>
      <w:numFmt w:val="decimal"/>
      <w:lvlText w:val="%7."/>
      <w:lvlJc w:val="right"/>
      <w:pPr>
        <w:ind w:left="3500" w:hanging="180"/>
      </w:pPr>
    </w:lvl>
    <w:lvl w:ilvl="7" w:tplc="0548D786">
      <w:start w:val="1"/>
      <w:numFmt w:val="decimal"/>
      <w:lvlText w:val="%8."/>
      <w:lvlJc w:val="right"/>
      <w:pPr>
        <w:ind w:left="4000" w:hanging="180"/>
      </w:pPr>
    </w:lvl>
    <w:lvl w:ilvl="8" w:tplc="DBC47792">
      <w:start w:val="1"/>
      <w:numFmt w:val="decimal"/>
      <w:lvlText w:val="%9."/>
      <w:lvlJc w:val="right"/>
      <w:pPr>
        <w:ind w:left="4500" w:hanging="180"/>
      </w:pPr>
    </w:lvl>
  </w:abstractNum>
  <w:abstractNum w:abstractNumId="27" w15:restartNumberingAfterBreak="0">
    <w:nsid w:val="42783588"/>
    <w:multiLevelType w:val="hybridMultilevel"/>
    <w:tmpl w:val="DFA207FE"/>
    <w:name w:val="CPSNumberingScheme"/>
    <w:lvl w:ilvl="0" w:tplc="02EEC04C">
      <w:start w:val="1"/>
      <w:numFmt w:val="decimal"/>
      <w:lvlText w:val="%1."/>
      <w:lvlJc w:val="right"/>
      <w:pPr>
        <w:ind w:left="500" w:hanging="180"/>
      </w:pPr>
    </w:lvl>
    <w:lvl w:ilvl="1" w:tplc="A8649374">
      <w:start w:val="1"/>
      <w:numFmt w:val="decimal"/>
      <w:lvlText w:val="%2."/>
      <w:lvlJc w:val="right"/>
      <w:pPr>
        <w:ind w:left="1000" w:hanging="180"/>
      </w:pPr>
    </w:lvl>
    <w:lvl w:ilvl="2" w:tplc="57F0E70A">
      <w:start w:val="1"/>
      <w:numFmt w:val="decimal"/>
      <w:lvlText w:val="%3."/>
      <w:lvlJc w:val="right"/>
      <w:pPr>
        <w:ind w:left="1500" w:hanging="180"/>
      </w:pPr>
    </w:lvl>
    <w:lvl w:ilvl="3" w:tplc="2C74A3C0">
      <w:start w:val="1"/>
      <w:numFmt w:val="decimal"/>
      <w:lvlText w:val="%4."/>
      <w:lvlJc w:val="right"/>
      <w:pPr>
        <w:ind w:left="2000" w:hanging="180"/>
      </w:pPr>
    </w:lvl>
    <w:lvl w:ilvl="4" w:tplc="A1386668">
      <w:start w:val="1"/>
      <w:numFmt w:val="decimal"/>
      <w:lvlText w:val="%5."/>
      <w:lvlJc w:val="right"/>
      <w:pPr>
        <w:ind w:left="2500" w:hanging="180"/>
      </w:pPr>
    </w:lvl>
    <w:lvl w:ilvl="5" w:tplc="3F96B55E">
      <w:start w:val="1"/>
      <w:numFmt w:val="decimal"/>
      <w:lvlText w:val="%6."/>
      <w:lvlJc w:val="right"/>
      <w:pPr>
        <w:ind w:left="3000" w:hanging="180"/>
      </w:pPr>
    </w:lvl>
    <w:lvl w:ilvl="6" w:tplc="6AEC3E54">
      <w:start w:val="1"/>
      <w:numFmt w:val="decimal"/>
      <w:lvlText w:val="%7."/>
      <w:lvlJc w:val="right"/>
      <w:pPr>
        <w:ind w:left="3500" w:hanging="180"/>
      </w:pPr>
    </w:lvl>
    <w:lvl w:ilvl="7" w:tplc="AA4EF97C">
      <w:start w:val="1"/>
      <w:numFmt w:val="decimal"/>
      <w:lvlText w:val="%8."/>
      <w:lvlJc w:val="right"/>
      <w:pPr>
        <w:ind w:left="4000" w:hanging="180"/>
      </w:pPr>
    </w:lvl>
    <w:lvl w:ilvl="8" w:tplc="9402A6CA">
      <w:start w:val="1"/>
      <w:numFmt w:val="decimal"/>
      <w:lvlText w:val="%9."/>
      <w:lvlJc w:val="right"/>
      <w:pPr>
        <w:ind w:left="4500" w:hanging="180"/>
      </w:pPr>
    </w:lvl>
  </w:abstractNum>
  <w:abstractNum w:abstractNumId="28" w15:restartNumberingAfterBreak="0">
    <w:nsid w:val="4B136E11"/>
    <w:multiLevelType w:val="hybridMultilevel"/>
    <w:tmpl w:val="7CEE4CDC"/>
    <w:name w:val="CPSNumberingScheme"/>
    <w:lvl w:ilvl="0" w:tplc="FFEED2B8">
      <w:start w:val="1"/>
      <w:numFmt w:val="decimal"/>
      <w:lvlText w:val="%1."/>
      <w:lvlJc w:val="right"/>
      <w:pPr>
        <w:ind w:left="500" w:hanging="180"/>
      </w:pPr>
    </w:lvl>
    <w:lvl w:ilvl="1" w:tplc="79B44C26">
      <w:start w:val="1"/>
      <w:numFmt w:val="decimal"/>
      <w:lvlText w:val="%2."/>
      <w:lvlJc w:val="right"/>
      <w:pPr>
        <w:ind w:left="1000" w:hanging="180"/>
      </w:pPr>
    </w:lvl>
    <w:lvl w:ilvl="2" w:tplc="E04A20A0">
      <w:start w:val="1"/>
      <w:numFmt w:val="decimal"/>
      <w:lvlText w:val="%3."/>
      <w:lvlJc w:val="right"/>
      <w:pPr>
        <w:ind w:left="1500" w:hanging="180"/>
      </w:pPr>
    </w:lvl>
    <w:lvl w:ilvl="3" w:tplc="EC5C3BD0">
      <w:start w:val="1"/>
      <w:numFmt w:val="decimal"/>
      <w:lvlText w:val="%4."/>
      <w:lvlJc w:val="right"/>
      <w:pPr>
        <w:ind w:left="2000" w:hanging="180"/>
      </w:pPr>
    </w:lvl>
    <w:lvl w:ilvl="4" w:tplc="F0B6F4F8">
      <w:start w:val="1"/>
      <w:numFmt w:val="decimal"/>
      <w:lvlText w:val="%5."/>
      <w:lvlJc w:val="right"/>
      <w:pPr>
        <w:ind w:left="2500" w:hanging="180"/>
      </w:pPr>
    </w:lvl>
    <w:lvl w:ilvl="5" w:tplc="72EE8652">
      <w:start w:val="1"/>
      <w:numFmt w:val="decimal"/>
      <w:lvlText w:val="%6."/>
      <w:lvlJc w:val="right"/>
      <w:pPr>
        <w:ind w:left="3000" w:hanging="180"/>
      </w:pPr>
    </w:lvl>
    <w:lvl w:ilvl="6" w:tplc="7B76F24C">
      <w:start w:val="1"/>
      <w:numFmt w:val="decimal"/>
      <w:lvlText w:val="%7."/>
      <w:lvlJc w:val="right"/>
      <w:pPr>
        <w:ind w:left="3500" w:hanging="180"/>
      </w:pPr>
    </w:lvl>
    <w:lvl w:ilvl="7" w:tplc="E068810C">
      <w:start w:val="1"/>
      <w:numFmt w:val="decimal"/>
      <w:lvlText w:val="%8."/>
      <w:lvlJc w:val="right"/>
      <w:pPr>
        <w:ind w:left="4000" w:hanging="180"/>
      </w:pPr>
    </w:lvl>
    <w:lvl w:ilvl="8" w:tplc="10608A90">
      <w:start w:val="1"/>
      <w:numFmt w:val="decimal"/>
      <w:lvlText w:val="%9."/>
      <w:lvlJc w:val="right"/>
      <w:pPr>
        <w:ind w:left="4500" w:hanging="180"/>
      </w:pPr>
    </w:lvl>
  </w:abstractNum>
  <w:abstractNum w:abstractNumId="29" w15:restartNumberingAfterBreak="0">
    <w:nsid w:val="4B9A058C"/>
    <w:multiLevelType w:val="hybridMultilevel"/>
    <w:tmpl w:val="1D000684"/>
    <w:name w:val="CPSNumberingScheme"/>
    <w:lvl w:ilvl="0" w:tplc="429829C4">
      <w:start w:val="1"/>
      <w:numFmt w:val="decimal"/>
      <w:lvlText w:val="%1."/>
      <w:lvlJc w:val="right"/>
      <w:pPr>
        <w:ind w:left="500" w:hanging="180"/>
      </w:pPr>
    </w:lvl>
    <w:lvl w:ilvl="1" w:tplc="C59A1EB8">
      <w:start w:val="1"/>
      <w:numFmt w:val="decimal"/>
      <w:lvlText w:val="%2."/>
      <w:lvlJc w:val="right"/>
      <w:pPr>
        <w:ind w:left="1000" w:hanging="180"/>
      </w:pPr>
    </w:lvl>
    <w:lvl w:ilvl="2" w:tplc="C7B2794C">
      <w:start w:val="1"/>
      <w:numFmt w:val="decimal"/>
      <w:lvlText w:val="%3."/>
      <w:lvlJc w:val="right"/>
      <w:pPr>
        <w:ind w:left="1500" w:hanging="180"/>
      </w:pPr>
    </w:lvl>
    <w:lvl w:ilvl="3" w:tplc="E1FC087E">
      <w:start w:val="1"/>
      <w:numFmt w:val="decimal"/>
      <w:lvlText w:val="%4."/>
      <w:lvlJc w:val="right"/>
      <w:pPr>
        <w:ind w:left="2000" w:hanging="180"/>
      </w:pPr>
    </w:lvl>
    <w:lvl w:ilvl="4" w:tplc="140690D6">
      <w:start w:val="1"/>
      <w:numFmt w:val="decimal"/>
      <w:lvlText w:val="%5."/>
      <w:lvlJc w:val="right"/>
      <w:pPr>
        <w:ind w:left="2500" w:hanging="180"/>
      </w:pPr>
    </w:lvl>
    <w:lvl w:ilvl="5" w:tplc="CBE6E02E">
      <w:start w:val="1"/>
      <w:numFmt w:val="decimal"/>
      <w:lvlText w:val="%6."/>
      <w:lvlJc w:val="right"/>
      <w:pPr>
        <w:ind w:left="3000" w:hanging="180"/>
      </w:pPr>
    </w:lvl>
    <w:lvl w:ilvl="6" w:tplc="C43E2B04">
      <w:start w:val="1"/>
      <w:numFmt w:val="decimal"/>
      <w:lvlText w:val="%7."/>
      <w:lvlJc w:val="right"/>
      <w:pPr>
        <w:ind w:left="3500" w:hanging="180"/>
      </w:pPr>
    </w:lvl>
    <w:lvl w:ilvl="7" w:tplc="87181952">
      <w:start w:val="1"/>
      <w:numFmt w:val="decimal"/>
      <w:lvlText w:val="%8."/>
      <w:lvlJc w:val="right"/>
      <w:pPr>
        <w:ind w:left="4000" w:hanging="180"/>
      </w:pPr>
    </w:lvl>
    <w:lvl w:ilvl="8" w:tplc="DE62F0EE">
      <w:start w:val="1"/>
      <w:numFmt w:val="decimal"/>
      <w:lvlText w:val="%9."/>
      <w:lvlJc w:val="right"/>
      <w:pPr>
        <w:ind w:left="4500" w:hanging="180"/>
      </w:pPr>
    </w:lvl>
  </w:abstractNum>
  <w:abstractNum w:abstractNumId="30" w15:restartNumberingAfterBreak="0">
    <w:nsid w:val="4C8127F0"/>
    <w:multiLevelType w:val="hybridMultilevel"/>
    <w:tmpl w:val="AAA870F8"/>
    <w:name w:val="CPSNumberingScheme"/>
    <w:lvl w:ilvl="0" w:tplc="622E03FC">
      <w:start w:val="1"/>
      <w:numFmt w:val="decimal"/>
      <w:lvlText w:val="%1."/>
      <w:lvlJc w:val="right"/>
      <w:pPr>
        <w:ind w:left="500" w:hanging="180"/>
      </w:pPr>
    </w:lvl>
    <w:lvl w:ilvl="1" w:tplc="2C6A6174">
      <w:start w:val="1"/>
      <w:numFmt w:val="decimal"/>
      <w:lvlText w:val="%2."/>
      <w:lvlJc w:val="right"/>
      <w:pPr>
        <w:ind w:left="1000" w:hanging="180"/>
      </w:pPr>
    </w:lvl>
    <w:lvl w:ilvl="2" w:tplc="011C04A2">
      <w:start w:val="1"/>
      <w:numFmt w:val="decimal"/>
      <w:lvlText w:val="%3."/>
      <w:lvlJc w:val="right"/>
      <w:pPr>
        <w:ind w:left="1500" w:hanging="180"/>
      </w:pPr>
    </w:lvl>
    <w:lvl w:ilvl="3" w:tplc="3BA81DB8">
      <w:start w:val="1"/>
      <w:numFmt w:val="decimal"/>
      <w:lvlText w:val="%4."/>
      <w:lvlJc w:val="right"/>
      <w:pPr>
        <w:ind w:left="2000" w:hanging="180"/>
      </w:pPr>
    </w:lvl>
    <w:lvl w:ilvl="4" w:tplc="9DE83CB0">
      <w:start w:val="1"/>
      <w:numFmt w:val="decimal"/>
      <w:lvlText w:val="%5."/>
      <w:lvlJc w:val="right"/>
      <w:pPr>
        <w:ind w:left="2500" w:hanging="180"/>
      </w:pPr>
    </w:lvl>
    <w:lvl w:ilvl="5" w:tplc="949243B6">
      <w:start w:val="1"/>
      <w:numFmt w:val="decimal"/>
      <w:lvlText w:val="%6."/>
      <w:lvlJc w:val="right"/>
      <w:pPr>
        <w:ind w:left="3000" w:hanging="180"/>
      </w:pPr>
    </w:lvl>
    <w:lvl w:ilvl="6" w:tplc="F1BA1426">
      <w:start w:val="1"/>
      <w:numFmt w:val="decimal"/>
      <w:lvlText w:val="%7."/>
      <w:lvlJc w:val="right"/>
      <w:pPr>
        <w:ind w:left="3500" w:hanging="180"/>
      </w:pPr>
    </w:lvl>
    <w:lvl w:ilvl="7" w:tplc="5F90A344">
      <w:start w:val="1"/>
      <w:numFmt w:val="decimal"/>
      <w:lvlText w:val="%8."/>
      <w:lvlJc w:val="right"/>
      <w:pPr>
        <w:ind w:left="4000" w:hanging="180"/>
      </w:pPr>
    </w:lvl>
    <w:lvl w:ilvl="8" w:tplc="CFB4CE1A">
      <w:start w:val="1"/>
      <w:numFmt w:val="decimal"/>
      <w:lvlText w:val="%9."/>
      <w:lvlJc w:val="right"/>
      <w:pPr>
        <w:ind w:left="4500" w:hanging="180"/>
      </w:pPr>
    </w:lvl>
  </w:abstractNum>
  <w:abstractNum w:abstractNumId="31" w15:restartNumberingAfterBreak="0">
    <w:nsid w:val="514D4E96"/>
    <w:multiLevelType w:val="hybridMultilevel"/>
    <w:tmpl w:val="268E7190"/>
    <w:name w:val="CPSNumberingScheme"/>
    <w:lvl w:ilvl="0" w:tplc="28D83BB2">
      <w:start w:val="1"/>
      <w:numFmt w:val="decimal"/>
      <w:lvlText w:val="%1."/>
      <w:lvlJc w:val="right"/>
      <w:pPr>
        <w:ind w:left="500" w:hanging="180"/>
      </w:pPr>
    </w:lvl>
    <w:lvl w:ilvl="1" w:tplc="8A6A8542">
      <w:start w:val="1"/>
      <w:numFmt w:val="decimal"/>
      <w:lvlText w:val="%2."/>
      <w:lvlJc w:val="right"/>
      <w:pPr>
        <w:ind w:left="1000" w:hanging="180"/>
      </w:pPr>
    </w:lvl>
    <w:lvl w:ilvl="2" w:tplc="D3E8F740">
      <w:start w:val="1"/>
      <w:numFmt w:val="decimal"/>
      <w:lvlText w:val="%3."/>
      <w:lvlJc w:val="right"/>
      <w:pPr>
        <w:ind w:left="1500" w:hanging="180"/>
      </w:pPr>
    </w:lvl>
    <w:lvl w:ilvl="3" w:tplc="07024EF8">
      <w:start w:val="1"/>
      <w:numFmt w:val="decimal"/>
      <w:lvlText w:val="%4."/>
      <w:lvlJc w:val="right"/>
      <w:pPr>
        <w:ind w:left="2000" w:hanging="180"/>
      </w:pPr>
    </w:lvl>
    <w:lvl w:ilvl="4" w:tplc="D7B60B0E">
      <w:start w:val="1"/>
      <w:numFmt w:val="decimal"/>
      <w:lvlText w:val="%5."/>
      <w:lvlJc w:val="right"/>
      <w:pPr>
        <w:ind w:left="2500" w:hanging="180"/>
      </w:pPr>
    </w:lvl>
    <w:lvl w:ilvl="5" w:tplc="56CAF9B2">
      <w:start w:val="1"/>
      <w:numFmt w:val="decimal"/>
      <w:lvlText w:val="%6."/>
      <w:lvlJc w:val="right"/>
      <w:pPr>
        <w:ind w:left="3000" w:hanging="180"/>
      </w:pPr>
    </w:lvl>
    <w:lvl w:ilvl="6" w:tplc="ABF46370">
      <w:start w:val="1"/>
      <w:numFmt w:val="decimal"/>
      <w:lvlText w:val="%7."/>
      <w:lvlJc w:val="right"/>
      <w:pPr>
        <w:ind w:left="3500" w:hanging="180"/>
      </w:pPr>
    </w:lvl>
    <w:lvl w:ilvl="7" w:tplc="1914863A">
      <w:start w:val="1"/>
      <w:numFmt w:val="decimal"/>
      <w:lvlText w:val="%8."/>
      <w:lvlJc w:val="right"/>
      <w:pPr>
        <w:ind w:left="4000" w:hanging="180"/>
      </w:pPr>
    </w:lvl>
    <w:lvl w:ilvl="8" w:tplc="E74859B2">
      <w:start w:val="1"/>
      <w:numFmt w:val="decimal"/>
      <w:lvlText w:val="%9."/>
      <w:lvlJc w:val="right"/>
      <w:pPr>
        <w:ind w:left="4500" w:hanging="180"/>
      </w:pPr>
    </w:lvl>
  </w:abstractNum>
  <w:abstractNum w:abstractNumId="32"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5C4E20"/>
    <w:multiLevelType w:val="hybridMultilevel"/>
    <w:tmpl w:val="D6DA13DC"/>
    <w:name w:val="CPSNumberingScheme"/>
    <w:lvl w:ilvl="0" w:tplc="472CF024">
      <w:start w:val="1"/>
      <w:numFmt w:val="decimal"/>
      <w:lvlText w:val="%1."/>
      <w:lvlJc w:val="right"/>
      <w:pPr>
        <w:ind w:left="500" w:hanging="180"/>
      </w:pPr>
    </w:lvl>
    <w:lvl w:ilvl="1" w:tplc="3D86B8CE">
      <w:start w:val="1"/>
      <w:numFmt w:val="decimal"/>
      <w:lvlText w:val="%2."/>
      <w:lvlJc w:val="right"/>
      <w:pPr>
        <w:ind w:left="1000" w:hanging="180"/>
      </w:pPr>
    </w:lvl>
    <w:lvl w:ilvl="2" w:tplc="449ECEDE">
      <w:start w:val="1"/>
      <w:numFmt w:val="decimal"/>
      <w:lvlText w:val="%3."/>
      <w:lvlJc w:val="right"/>
      <w:pPr>
        <w:ind w:left="1500" w:hanging="180"/>
      </w:pPr>
    </w:lvl>
    <w:lvl w:ilvl="3" w:tplc="BBE83BBC">
      <w:start w:val="1"/>
      <w:numFmt w:val="decimal"/>
      <w:lvlText w:val="%4."/>
      <w:lvlJc w:val="right"/>
      <w:pPr>
        <w:ind w:left="2000" w:hanging="180"/>
      </w:pPr>
    </w:lvl>
    <w:lvl w:ilvl="4" w:tplc="02001A84">
      <w:start w:val="1"/>
      <w:numFmt w:val="decimal"/>
      <w:lvlText w:val="%5."/>
      <w:lvlJc w:val="right"/>
      <w:pPr>
        <w:ind w:left="2500" w:hanging="180"/>
      </w:pPr>
    </w:lvl>
    <w:lvl w:ilvl="5" w:tplc="9F5E8B84">
      <w:start w:val="1"/>
      <w:numFmt w:val="decimal"/>
      <w:lvlText w:val="%6."/>
      <w:lvlJc w:val="right"/>
      <w:pPr>
        <w:ind w:left="3000" w:hanging="180"/>
      </w:pPr>
    </w:lvl>
    <w:lvl w:ilvl="6" w:tplc="E55C888E">
      <w:start w:val="1"/>
      <w:numFmt w:val="decimal"/>
      <w:lvlText w:val="%7."/>
      <w:lvlJc w:val="right"/>
      <w:pPr>
        <w:ind w:left="3500" w:hanging="180"/>
      </w:pPr>
    </w:lvl>
    <w:lvl w:ilvl="7" w:tplc="45203552">
      <w:start w:val="1"/>
      <w:numFmt w:val="decimal"/>
      <w:lvlText w:val="%8."/>
      <w:lvlJc w:val="right"/>
      <w:pPr>
        <w:ind w:left="4000" w:hanging="180"/>
      </w:pPr>
    </w:lvl>
    <w:lvl w:ilvl="8" w:tplc="136C800A">
      <w:start w:val="1"/>
      <w:numFmt w:val="decimal"/>
      <w:lvlText w:val="%9."/>
      <w:lvlJc w:val="right"/>
      <w:pPr>
        <w:ind w:left="4500" w:hanging="180"/>
      </w:pPr>
    </w:lvl>
  </w:abstractNum>
  <w:abstractNum w:abstractNumId="34" w15:restartNumberingAfterBreak="0">
    <w:nsid w:val="547C57A4"/>
    <w:multiLevelType w:val="hybridMultilevel"/>
    <w:tmpl w:val="0E74E88C"/>
    <w:name w:val="CPSNumberingScheme"/>
    <w:lvl w:ilvl="0" w:tplc="E8A81DFC">
      <w:start w:val="1"/>
      <w:numFmt w:val="decimal"/>
      <w:lvlText w:val="%1."/>
      <w:lvlJc w:val="right"/>
      <w:pPr>
        <w:ind w:left="500" w:hanging="180"/>
      </w:pPr>
    </w:lvl>
    <w:lvl w:ilvl="1" w:tplc="B0A88A70">
      <w:start w:val="1"/>
      <w:numFmt w:val="decimal"/>
      <w:lvlText w:val="%2."/>
      <w:lvlJc w:val="right"/>
      <w:pPr>
        <w:ind w:left="1000" w:hanging="180"/>
      </w:pPr>
    </w:lvl>
    <w:lvl w:ilvl="2" w:tplc="9280B07E">
      <w:start w:val="1"/>
      <w:numFmt w:val="decimal"/>
      <w:lvlText w:val="%3."/>
      <w:lvlJc w:val="right"/>
      <w:pPr>
        <w:ind w:left="1500" w:hanging="180"/>
      </w:pPr>
    </w:lvl>
    <w:lvl w:ilvl="3" w:tplc="7C6230CC">
      <w:start w:val="1"/>
      <w:numFmt w:val="decimal"/>
      <w:lvlText w:val="%4."/>
      <w:lvlJc w:val="right"/>
      <w:pPr>
        <w:ind w:left="2000" w:hanging="180"/>
      </w:pPr>
    </w:lvl>
    <w:lvl w:ilvl="4" w:tplc="58D8A89C">
      <w:start w:val="1"/>
      <w:numFmt w:val="decimal"/>
      <w:lvlText w:val="%5."/>
      <w:lvlJc w:val="right"/>
      <w:pPr>
        <w:ind w:left="2500" w:hanging="180"/>
      </w:pPr>
    </w:lvl>
    <w:lvl w:ilvl="5" w:tplc="FEA221A2">
      <w:start w:val="1"/>
      <w:numFmt w:val="decimal"/>
      <w:lvlText w:val="%6."/>
      <w:lvlJc w:val="right"/>
      <w:pPr>
        <w:ind w:left="3000" w:hanging="180"/>
      </w:pPr>
    </w:lvl>
    <w:lvl w:ilvl="6" w:tplc="C83A0D02">
      <w:start w:val="1"/>
      <w:numFmt w:val="decimal"/>
      <w:lvlText w:val="%7."/>
      <w:lvlJc w:val="right"/>
      <w:pPr>
        <w:ind w:left="3500" w:hanging="180"/>
      </w:pPr>
    </w:lvl>
    <w:lvl w:ilvl="7" w:tplc="8B3AA700">
      <w:start w:val="1"/>
      <w:numFmt w:val="decimal"/>
      <w:lvlText w:val="%8."/>
      <w:lvlJc w:val="right"/>
      <w:pPr>
        <w:ind w:left="4000" w:hanging="180"/>
      </w:pPr>
    </w:lvl>
    <w:lvl w:ilvl="8" w:tplc="5CEC445E">
      <w:start w:val="1"/>
      <w:numFmt w:val="decimal"/>
      <w:lvlText w:val="%9."/>
      <w:lvlJc w:val="right"/>
      <w:pPr>
        <w:ind w:left="4500" w:hanging="180"/>
      </w:pPr>
    </w:lvl>
  </w:abstractNum>
  <w:abstractNum w:abstractNumId="35" w15:restartNumberingAfterBreak="0">
    <w:nsid w:val="5D512464"/>
    <w:multiLevelType w:val="hybridMultilevel"/>
    <w:tmpl w:val="75C80D8C"/>
    <w:name w:val="CPSNumberingScheme"/>
    <w:lvl w:ilvl="0" w:tplc="294CA43E">
      <w:start w:val="1"/>
      <w:numFmt w:val="decimal"/>
      <w:lvlText w:val="%1."/>
      <w:lvlJc w:val="right"/>
      <w:pPr>
        <w:ind w:left="500" w:hanging="180"/>
      </w:pPr>
    </w:lvl>
    <w:lvl w:ilvl="1" w:tplc="6AE4122A">
      <w:start w:val="1"/>
      <w:numFmt w:val="decimal"/>
      <w:lvlText w:val="%2."/>
      <w:lvlJc w:val="right"/>
      <w:pPr>
        <w:ind w:left="1000" w:hanging="180"/>
      </w:pPr>
    </w:lvl>
    <w:lvl w:ilvl="2" w:tplc="4D541CC6">
      <w:start w:val="1"/>
      <w:numFmt w:val="decimal"/>
      <w:lvlText w:val="%3."/>
      <w:lvlJc w:val="right"/>
      <w:pPr>
        <w:ind w:left="1500" w:hanging="180"/>
      </w:pPr>
    </w:lvl>
    <w:lvl w:ilvl="3" w:tplc="4F10A116">
      <w:start w:val="1"/>
      <w:numFmt w:val="decimal"/>
      <w:lvlText w:val="%4."/>
      <w:lvlJc w:val="right"/>
      <w:pPr>
        <w:ind w:left="2000" w:hanging="180"/>
      </w:pPr>
    </w:lvl>
    <w:lvl w:ilvl="4" w:tplc="3EB651D8">
      <w:start w:val="1"/>
      <w:numFmt w:val="decimal"/>
      <w:lvlText w:val="%5."/>
      <w:lvlJc w:val="right"/>
      <w:pPr>
        <w:ind w:left="2500" w:hanging="180"/>
      </w:pPr>
    </w:lvl>
    <w:lvl w:ilvl="5" w:tplc="517C8C36">
      <w:start w:val="1"/>
      <w:numFmt w:val="decimal"/>
      <w:lvlText w:val="%6."/>
      <w:lvlJc w:val="right"/>
      <w:pPr>
        <w:ind w:left="3000" w:hanging="180"/>
      </w:pPr>
    </w:lvl>
    <w:lvl w:ilvl="6" w:tplc="8AD0D796">
      <w:start w:val="1"/>
      <w:numFmt w:val="decimal"/>
      <w:lvlText w:val="%7."/>
      <w:lvlJc w:val="right"/>
      <w:pPr>
        <w:ind w:left="3500" w:hanging="180"/>
      </w:pPr>
    </w:lvl>
    <w:lvl w:ilvl="7" w:tplc="42E6C748">
      <w:start w:val="1"/>
      <w:numFmt w:val="decimal"/>
      <w:lvlText w:val="%8."/>
      <w:lvlJc w:val="right"/>
      <w:pPr>
        <w:ind w:left="4000" w:hanging="180"/>
      </w:pPr>
    </w:lvl>
    <w:lvl w:ilvl="8" w:tplc="BC94FB64">
      <w:start w:val="1"/>
      <w:numFmt w:val="decimal"/>
      <w:lvlText w:val="%9."/>
      <w:lvlJc w:val="right"/>
      <w:pPr>
        <w:ind w:left="4500" w:hanging="180"/>
      </w:pPr>
    </w:lvl>
  </w:abstractNum>
  <w:abstractNum w:abstractNumId="36" w15:restartNumberingAfterBreak="0">
    <w:nsid w:val="5EE65EDF"/>
    <w:multiLevelType w:val="hybridMultilevel"/>
    <w:tmpl w:val="B36CA2B8"/>
    <w:name w:val="CPSNumberingScheme"/>
    <w:lvl w:ilvl="0" w:tplc="F2323210">
      <w:start w:val="1"/>
      <w:numFmt w:val="decimal"/>
      <w:lvlText w:val="%1."/>
      <w:lvlJc w:val="right"/>
      <w:pPr>
        <w:ind w:left="500" w:hanging="180"/>
      </w:pPr>
    </w:lvl>
    <w:lvl w:ilvl="1" w:tplc="1F684628">
      <w:start w:val="1"/>
      <w:numFmt w:val="decimal"/>
      <w:lvlText w:val="%2."/>
      <w:lvlJc w:val="right"/>
      <w:pPr>
        <w:ind w:left="1000" w:hanging="180"/>
      </w:pPr>
    </w:lvl>
    <w:lvl w:ilvl="2" w:tplc="F67A70DA">
      <w:start w:val="1"/>
      <w:numFmt w:val="decimal"/>
      <w:lvlText w:val="%3."/>
      <w:lvlJc w:val="right"/>
      <w:pPr>
        <w:ind w:left="1500" w:hanging="180"/>
      </w:pPr>
    </w:lvl>
    <w:lvl w:ilvl="3" w:tplc="C28C2CFC">
      <w:start w:val="1"/>
      <w:numFmt w:val="decimal"/>
      <w:lvlText w:val="%4."/>
      <w:lvlJc w:val="right"/>
      <w:pPr>
        <w:ind w:left="2000" w:hanging="180"/>
      </w:pPr>
    </w:lvl>
    <w:lvl w:ilvl="4" w:tplc="1D08474C">
      <w:start w:val="1"/>
      <w:numFmt w:val="decimal"/>
      <w:lvlText w:val="%5."/>
      <w:lvlJc w:val="right"/>
      <w:pPr>
        <w:ind w:left="2500" w:hanging="180"/>
      </w:pPr>
    </w:lvl>
    <w:lvl w:ilvl="5" w:tplc="C0E6F1D6">
      <w:start w:val="1"/>
      <w:numFmt w:val="decimal"/>
      <w:lvlText w:val="%6."/>
      <w:lvlJc w:val="right"/>
      <w:pPr>
        <w:ind w:left="3000" w:hanging="180"/>
      </w:pPr>
    </w:lvl>
    <w:lvl w:ilvl="6" w:tplc="6630B702">
      <w:start w:val="1"/>
      <w:numFmt w:val="decimal"/>
      <w:lvlText w:val="%7."/>
      <w:lvlJc w:val="right"/>
      <w:pPr>
        <w:ind w:left="3500" w:hanging="180"/>
      </w:pPr>
    </w:lvl>
    <w:lvl w:ilvl="7" w:tplc="6EDE9582">
      <w:start w:val="1"/>
      <w:numFmt w:val="decimal"/>
      <w:lvlText w:val="%8."/>
      <w:lvlJc w:val="right"/>
      <w:pPr>
        <w:ind w:left="4000" w:hanging="180"/>
      </w:pPr>
    </w:lvl>
    <w:lvl w:ilvl="8" w:tplc="310C032E">
      <w:start w:val="1"/>
      <w:numFmt w:val="decimal"/>
      <w:lvlText w:val="%9."/>
      <w:lvlJc w:val="right"/>
      <w:pPr>
        <w:ind w:left="4500" w:hanging="180"/>
      </w:pPr>
    </w:lvl>
  </w:abstractNum>
  <w:abstractNum w:abstractNumId="37" w15:restartNumberingAfterBreak="0">
    <w:nsid w:val="65D61D04"/>
    <w:multiLevelType w:val="hybridMultilevel"/>
    <w:tmpl w:val="AB265720"/>
    <w:name w:val="CPSNumberingScheme"/>
    <w:lvl w:ilvl="0" w:tplc="CAC2220E">
      <w:start w:val="1"/>
      <w:numFmt w:val="decimal"/>
      <w:lvlText w:val="%1."/>
      <w:lvlJc w:val="right"/>
      <w:pPr>
        <w:ind w:left="500" w:hanging="180"/>
      </w:pPr>
    </w:lvl>
    <w:lvl w:ilvl="1" w:tplc="CE728B40">
      <w:start w:val="1"/>
      <w:numFmt w:val="decimal"/>
      <w:lvlText w:val="%2."/>
      <w:lvlJc w:val="right"/>
      <w:pPr>
        <w:ind w:left="1000" w:hanging="180"/>
      </w:pPr>
    </w:lvl>
    <w:lvl w:ilvl="2" w:tplc="8C9A9CB6">
      <w:start w:val="1"/>
      <w:numFmt w:val="decimal"/>
      <w:lvlText w:val="%3."/>
      <w:lvlJc w:val="right"/>
      <w:pPr>
        <w:ind w:left="1500" w:hanging="180"/>
      </w:pPr>
    </w:lvl>
    <w:lvl w:ilvl="3" w:tplc="73A01F66">
      <w:start w:val="1"/>
      <w:numFmt w:val="decimal"/>
      <w:lvlText w:val="%4."/>
      <w:lvlJc w:val="right"/>
      <w:pPr>
        <w:ind w:left="2000" w:hanging="180"/>
      </w:pPr>
    </w:lvl>
    <w:lvl w:ilvl="4" w:tplc="FDC89A72">
      <w:start w:val="1"/>
      <w:numFmt w:val="decimal"/>
      <w:lvlText w:val="%5."/>
      <w:lvlJc w:val="right"/>
      <w:pPr>
        <w:ind w:left="2500" w:hanging="180"/>
      </w:pPr>
    </w:lvl>
    <w:lvl w:ilvl="5" w:tplc="8A5C560E">
      <w:start w:val="1"/>
      <w:numFmt w:val="decimal"/>
      <w:lvlText w:val="%6."/>
      <w:lvlJc w:val="right"/>
      <w:pPr>
        <w:ind w:left="3000" w:hanging="180"/>
      </w:pPr>
    </w:lvl>
    <w:lvl w:ilvl="6" w:tplc="F03CBD70">
      <w:start w:val="1"/>
      <w:numFmt w:val="decimal"/>
      <w:lvlText w:val="%7."/>
      <w:lvlJc w:val="right"/>
      <w:pPr>
        <w:ind w:left="3500" w:hanging="180"/>
      </w:pPr>
    </w:lvl>
    <w:lvl w:ilvl="7" w:tplc="EF2047E6">
      <w:start w:val="1"/>
      <w:numFmt w:val="decimal"/>
      <w:lvlText w:val="%8."/>
      <w:lvlJc w:val="right"/>
      <w:pPr>
        <w:ind w:left="4000" w:hanging="180"/>
      </w:pPr>
    </w:lvl>
    <w:lvl w:ilvl="8" w:tplc="C234C4B6">
      <w:start w:val="1"/>
      <w:numFmt w:val="decimal"/>
      <w:lvlText w:val="%9."/>
      <w:lvlJc w:val="right"/>
      <w:pPr>
        <w:ind w:left="4500" w:hanging="180"/>
      </w:pPr>
    </w:lvl>
  </w:abstractNum>
  <w:abstractNum w:abstractNumId="38" w15:restartNumberingAfterBreak="0">
    <w:nsid w:val="6B305431"/>
    <w:multiLevelType w:val="hybridMultilevel"/>
    <w:tmpl w:val="56C086E2"/>
    <w:name w:val="CPSNumberingScheme"/>
    <w:lvl w:ilvl="0" w:tplc="F3D4A66E">
      <w:start w:val="1"/>
      <w:numFmt w:val="decimal"/>
      <w:pStyle w:val="NumberParagraphAlpha"/>
      <w:lvlText w:val="%1."/>
      <w:lvlJc w:val="right"/>
      <w:pPr>
        <w:ind w:left="500" w:hanging="180"/>
      </w:pPr>
    </w:lvl>
    <w:lvl w:ilvl="1" w:tplc="533801AE">
      <w:start w:val="1"/>
      <w:numFmt w:val="decimal"/>
      <w:lvlText w:val="%2."/>
      <w:lvlJc w:val="right"/>
      <w:pPr>
        <w:ind w:left="1000" w:hanging="180"/>
      </w:pPr>
    </w:lvl>
    <w:lvl w:ilvl="2" w:tplc="D9FE639E">
      <w:start w:val="1"/>
      <w:numFmt w:val="decimal"/>
      <w:lvlText w:val="%3."/>
      <w:lvlJc w:val="right"/>
      <w:pPr>
        <w:ind w:left="1500" w:hanging="180"/>
      </w:pPr>
    </w:lvl>
    <w:lvl w:ilvl="3" w:tplc="3C98F352">
      <w:start w:val="1"/>
      <w:numFmt w:val="decimal"/>
      <w:lvlText w:val="%4."/>
      <w:lvlJc w:val="right"/>
      <w:pPr>
        <w:ind w:left="2000" w:hanging="180"/>
      </w:pPr>
    </w:lvl>
    <w:lvl w:ilvl="4" w:tplc="2C38AA34">
      <w:start w:val="1"/>
      <w:numFmt w:val="decimal"/>
      <w:lvlText w:val="%5."/>
      <w:lvlJc w:val="right"/>
      <w:pPr>
        <w:ind w:left="2500" w:hanging="180"/>
      </w:pPr>
    </w:lvl>
    <w:lvl w:ilvl="5" w:tplc="106E9B46">
      <w:start w:val="1"/>
      <w:numFmt w:val="decimal"/>
      <w:lvlText w:val="%6."/>
      <w:lvlJc w:val="right"/>
      <w:pPr>
        <w:ind w:left="3000" w:hanging="180"/>
      </w:pPr>
    </w:lvl>
    <w:lvl w:ilvl="6" w:tplc="574EDB1A">
      <w:start w:val="1"/>
      <w:numFmt w:val="decimal"/>
      <w:lvlText w:val="%7."/>
      <w:lvlJc w:val="right"/>
      <w:pPr>
        <w:ind w:left="3500" w:hanging="180"/>
      </w:pPr>
    </w:lvl>
    <w:lvl w:ilvl="7" w:tplc="2CA04DDC">
      <w:start w:val="1"/>
      <w:numFmt w:val="decimal"/>
      <w:lvlText w:val="%8."/>
      <w:lvlJc w:val="right"/>
      <w:pPr>
        <w:ind w:left="4000" w:hanging="180"/>
      </w:pPr>
    </w:lvl>
    <w:lvl w:ilvl="8" w:tplc="59A449F8">
      <w:start w:val="1"/>
      <w:numFmt w:val="decimal"/>
      <w:lvlText w:val="%9."/>
      <w:lvlJc w:val="right"/>
      <w:pPr>
        <w:ind w:left="4500" w:hanging="180"/>
      </w:pPr>
    </w:lvl>
  </w:abstractNum>
  <w:abstractNum w:abstractNumId="39" w15:restartNumberingAfterBreak="0">
    <w:nsid w:val="6BAA2D91"/>
    <w:multiLevelType w:val="hybridMultilevel"/>
    <w:tmpl w:val="8DD00A8E"/>
    <w:name w:val="CPSNumberingScheme"/>
    <w:lvl w:ilvl="0" w:tplc="2DDEE428">
      <w:start w:val="1"/>
      <w:numFmt w:val="decimal"/>
      <w:lvlText w:val="%1."/>
      <w:lvlJc w:val="right"/>
      <w:pPr>
        <w:ind w:left="500" w:hanging="180"/>
      </w:pPr>
    </w:lvl>
    <w:lvl w:ilvl="1" w:tplc="6D4C89A4">
      <w:start w:val="1"/>
      <w:numFmt w:val="decimal"/>
      <w:lvlText w:val="%2."/>
      <w:lvlJc w:val="right"/>
      <w:pPr>
        <w:ind w:left="1000" w:hanging="180"/>
      </w:pPr>
    </w:lvl>
    <w:lvl w:ilvl="2" w:tplc="C4FC8CE0">
      <w:start w:val="1"/>
      <w:numFmt w:val="decimal"/>
      <w:lvlText w:val="%3."/>
      <w:lvlJc w:val="right"/>
      <w:pPr>
        <w:ind w:left="1500" w:hanging="180"/>
      </w:pPr>
    </w:lvl>
    <w:lvl w:ilvl="3" w:tplc="D9588756">
      <w:start w:val="1"/>
      <w:numFmt w:val="decimal"/>
      <w:lvlText w:val="%4."/>
      <w:lvlJc w:val="right"/>
      <w:pPr>
        <w:ind w:left="2000" w:hanging="180"/>
      </w:pPr>
    </w:lvl>
    <w:lvl w:ilvl="4" w:tplc="4D58ADAA">
      <w:start w:val="1"/>
      <w:numFmt w:val="decimal"/>
      <w:lvlText w:val="%5."/>
      <w:lvlJc w:val="right"/>
      <w:pPr>
        <w:ind w:left="2500" w:hanging="180"/>
      </w:pPr>
    </w:lvl>
    <w:lvl w:ilvl="5" w:tplc="C7DE2A0E">
      <w:start w:val="1"/>
      <w:numFmt w:val="decimal"/>
      <w:lvlText w:val="%6."/>
      <w:lvlJc w:val="right"/>
      <w:pPr>
        <w:ind w:left="3000" w:hanging="180"/>
      </w:pPr>
    </w:lvl>
    <w:lvl w:ilvl="6" w:tplc="DA627A76">
      <w:start w:val="1"/>
      <w:numFmt w:val="decimal"/>
      <w:lvlText w:val="%7."/>
      <w:lvlJc w:val="right"/>
      <w:pPr>
        <w:ind w:left="3500" w:hanging="180"/>
      </w:pPr>
    </w:lvl>
    <w:lvl w:ilvl="7" w:tplc="86D6268E">
      <w:start w:val="1"/>
      <w:numFmt w:val="decimal"/>
      <w:lvlText w:val="%8."/>
      <w:lvlJc w:val="right"/>
      <w:pPr>
        <w:ind w:left="4000" w:hanging="180"/>
      </w:pPr>
    </w:lvl>
    <w:lvl w:ilvl="8" w:tplc="7EDACE1E">
      <w:start w:val="1"/>
      <w:numFmt w:val="decimal"/>
      <w:lvlText w:val="%9."/>
      <w:lvlJc w:val="right"/>
      <w:pPr>
        <w:ind w:left="4500" w:hanging="180"/>
      </w:pPr>
    </w:lvl>
  </w:abstractNum>
  <w:abstractNum w:abstractNumId="40" w15:restartNumberingAfterBreak="0">
    <w:nsid w:val="6BD50F14"/>
    <w:multiLevelType w:val="hybridMultilevel"/>
    <w:tmpl w:val="6B38BBB0"/>
    <w:name w:val="CPSNumberingScheme"/>
    <w:lvl w:ilvl="0" w:tplc="D04A4312">
      <w:start w:val="1"/>
      <w:numFmt w:val="decimal"/>
      <w:lvlText w:val="%1."/>
      <w:lvlJc w:val="right"/>
      <w:pPr>
        <w:ind w:left="500" w:hanging="180"/>
      </w:pPr>
    </w:lvl>
    <w:lvl w:ilvl="1" w:tplc="7B70D8E4">
      <w:start w:val="1"/>
      <w:numFmt w:val="decimal"/>
      <w:lvlText w:val="%2."/>
      <w:lvlJc w:val="right"/>
      <w:pPr>
        <w:ind w:left="1000" w:hanging="180"/>
      </w:pPr>
    </w:lvl>
    <w:lvl w:ilvl="2" w:tplc="1C10E77A">
      <w:start w:val="1"/>
      <w:numFmt w:val="decimal"/>
      <w:lvlText w:val="%3."/>
      <w:lvlJc w:val="right"/>
      <w:pPr>
        <w:ind w:left="1500" w:hanging="180"/>
      </w:pPr>
    </w:lvl>
    <w:lvl w:ilvl="3" w:tplc="C396C5FE">
      <w:start w:val="1"/>
      <w:numFmt w:val="decimal"/>
      <w:lvlText w:val="%4."/>
      <w:lvlJc w:val="right"/>
      <w:pPr>
        <w:ind w:left="2000" w:hanging="180"/>
      </w:pPr>
    </w:lvl>
    <w:lvl w:ilvl="4" w:tplc="40A440EE">
      <w:start w:val="1"/>
      <w:numFmt w:val="decimal"/>
      <w:lvlText w:val="%5."/>
      <w:lvlJc w:val="right"/>
      <w:pPr>
        <w:ind w:left="2500" w:hanging="180"/>
      </w:pPr>
    </w:lvl>
    <w:lvl w:ilvl="5" w:tplc="683889B8">
      <w:start w:val="1"/>
      <w:numFmt w:val="decimal"/>
      <w:lvlText w:val="%6."/>
      <w:lvlJc w:val="right"/>
      <w:pPr>
        <w:ind w:left="3000" w:hanging="180"/>
      </w:pPr>
    </w:lvl>
    <w:lvl w:ilvl="6" w:tplc="EFC61B58">
      <w:start w:val="1"/>
      <w:numFmt w:val="decimal"/>
      <w:lvlText w:val="%7."/>
      <w:lvlJc w:val="right"/>
      <w:pPr>
        <w:ind w:left="3500" w:hanging="180"/>
      </w:pPr>
    </w:lvl>
    <w:lvl w:ilvl="7" w:tplc="5D2E498C">
      <w:start w:val="1"/>
      <w:numFmt w:val="decimal"/>
      <w:lvlText w:val="%8."/>
      <w:lvlJc w:val="right"/>
      <w:pPr>
        <w:ind w:left="4000" w:hanging="180"/>
      </w:pPr>
    </w:lvl>
    <w:lvl w:ilvl="8" w:tplc="F46C8994">
      <w:start w:val="1"/>
      <w:numFmt w:val="decimal"/>
      <w:lvlText w:val="%9."/>
      <w:lvlJc w:val="right"/>
      <w:pPr>
        <w:ind w:left="4500" w:hanging="180"/>
      </w:pPr>
    </w:lvl>
  </w:abstractNum>
  <w:abstractNum w:abstractNumId="41" w15:restartNumberingAfterBreak="0">
    <w:nsid w:val="6BF27FA5"/>
    <w:multiLevelType w:val="hybridMultilevel"/>
    <w:tmpl w:val="4B9652C0"/>
    <w:name w:val="CPSNumberingScheme"/>
    <w:lvl w:ilvl="0" w:tplc="F2EA9244">
      <w:start w:val="1"/>
      <w:numFmt w:val="decimal"/>
      <w:lvlText w:val="%1."/>
      <w:lvlJc w:val="right"/>
      <w:pPr>
        <w:ind w:left="500" w:hanging="180"/>
      </w:pPr>
    </w:lvl>
    <w:lvl w:ilvl="1" w:tplc="E4BC9866">
      <w:start w:val="1"/>
      <w:numFmt w:val="decimal"/>
      <w:lvlText w:val="%2."/>
      <w:lvlJc w:val="right"/>
      <w:pPr>
        <w:ind w:left="1000" w:hanging="180"/>
      </w:pPr>
    </w:lvl>
    <w:lvl w:ilvl="2" w:tplc="E63C384E">
      <w:start w:val="1"/>
      <w:numFmt w:val="decimal"/>
      <w:lvlText w:val="%3."/>
      <w:lvlJc w:val="right"/>
      <w:pPr>
        <w:ind w:left="1500" w:hanging="180"/>
      </w:pPr>
    </w:lvl>
    <w:lvl w:ilvl="3" w:tplc="92EE42FE">
      <w:start w:val="1"/>
      <w:numFmt w:val="decimal"/>
      <w:lvlText w:val="%4."/>
      <w:lvlJc w:val="right"/>
      <w:pPr>
        <w:ind w:left="2000" w:hanging="180"/>
      </w:pPr>
    </w:lvl>
    <w:lvl w:ilvl="4" w:tplc="6584177E">
      <w:start w:val="1"/>
      <w:numFmt w:val="decimal"/>
      <w:lvlText w:val="%5."/>
      <w:lvlJc w:val="right"/>
      <w:pPr>
        <w:ind w:left="2500" w:hanging="180"/>
      </w:pPr>
    </w:lvl>
    <w:lvl w:ilvl="5" w:tplc="7CFA118A">
      <w:start w:val="1"/>
      <w:numFmt w:val="decimal"/>
      <w:lvlText w:val="%6."/>
      <w:lvlJc w:val="right"/>
      <w:pPr>
        <w:ind w:left="3000" w:hanging="180"/>
      </w:pPr>
    </w:lvl>
    <w:lvl w:ilvl="6" w:tplc="56D808D0">
      <w:start w:val="1"/>
      <w:numFmt w:val="decimal"/>
      <w:lvlText w:val="%7."/>
      <w:lvlJc w:val="right"/>
      <w:pPr>
        <w:ind w:left="3500" w:hanging="180"/>
      </w:pPr>
    </w:lvl>
    <w:lvl w:ilvl="7" w:tplc="71E49416">
      <w:start w:val="1"/>
      <w:numFmt w:val="decimal"/>
      <w:lvlText w:val="%8."/>
      <w:lvlJc w:val="right"/>
      <w:pPr>
        <w:ind w:left="4000" w:hanging="180"/>
      </w:pPr>
    </w:lvl>
    <w:lvl w:ilvl="8" w:tplc="9AD43F3E">
      <w:start w:val="1"/>
      <w:numFmt w:val="decimal"/>
      <w:lvlText w:val="%9."/>
      <w:lvlJc w:val="right"/>
      <w:pPr>
        <w:ind w:left="4500" w:hanging="180"/>
      </w:pPr>
    </w:lvl>
  </w:abstractNum>
  <w:abstractNum w:abstractNumId="42" w15:restartNumberingAfterBreak="0">
    <w:nsid w:val="6ECF44B2"/>
    <w:multiLevelType w:val="hybridMultilevel"/>
    <w:tmpl w:val="3DE27C00"/>
    <w:name w:val="CPSNumberingScheme"/>
    <w:lvl w:ilvl="0" w:tplc="9C3292F4">
      <w:start w:val="1"/>
      <w:numFmt w:val="decimal"/>
      <w:lvlText w:val="%1."/>
      <w:lvlJc w:val="right"/>
      <w:pPr>
        <w:ind w:left="500" w:hanging="180"/>
      </w:pPr>
    </w:lvl>
    <w:lvl w:ilvl="1" w:tplc="20E0AEA2">
      <w:start w:val="1"/>
      <w:numFmt w:val="decimal"/>
      <w:lvlText w:val="%2."/>
      <w:lvlJc w:val="right"/>
      <w:pPr>
        <w:ind w:left="1000" w:hanging="180"/>
      </w:pPr>
    </w:lvl>
    <w:lvl w:ilvl="2" w:tplc="FDFC63E2">
      <w:start w:val="1"/>
      <w:numFmt w:val="decimal"/>
      <w:lvlText w:val="%3."/>
      <w:lvlJc w:val="right"/>
      <w:pPr>
        <w:ind w:left="1500" w:hanging="180"/>
      </w:pPr>
    </w:lvl>
    <w:lvl w:ilvl="3" w:tplc="314EC404">
      <w:start w:val="1"/>
      <w:numFmt w:val="decimal"/>
      <w:lvlText w:val="%4."/>
      <w:lvlJc w:val="right"/>
      <w:pPr>
        <w:ind w:left="2000" w:hanging="180"/>
      </w:pPr>
    </w:lvl>
    <w:lvl w:ilvl="4" w:tplc="7B48FA9E">
      <w:start w:val="1"/>
      <w:numFmt w:val="decimal"/>
      <w:lvlText w:val="%5."/>
      <w:lvlJc w:val="right"/>
      <w:pPr>
        <w:ind w:left="2500" w:hanging="180"/>
      </w:pPr>
    </w:lvl>
    <w:lvl w:ilvl="5" w:tplc="3EC4641E">
      <w:start w:val="1"/>
      <w:numFmt w:val="decimal"/>
      <w:lvlText w:val="%6."/>
      <w:lvlJc w:val="right"/>
      <w:pPr>
        <w:ind w:left="3000" w:hanging="180"/>
      </w:pPr>
    </w:lvl>
    <w:lvl w:ilvl="6" w:tplc="419205C2">
      <w:start w:val="1"/>
      <w:numFmt w:val="decimal"/>
      <w:lvlText w:val="%7."/>
      <w:lvlJc w:val="right"/>
      <w:pPr>
        <w:ind w:left="3500" w:hanging="180"/>
      </w:pPr>
    </w:lvl>
    <w:lvl w:ilvl="7" w:tplc="3D9C1290">
      <w:start w:val="1"/>
      <w:numFmt w:val="decimal"/>
      <w:lvlText w:val="%8."/>
      <w:lvlJc w:val="right"/>
      <w:pPr>
        <w:ind w:left="4000" w:hanging="180"/>
      </w:pPr>
    </w:lvl>
    <w:lvl w:ilvl="8" w:tplc="94786048">
      <w:start w:val="1"/>
      <w:numFmt w:val="decimal"/>
      <w:lvlText w:val="%9."/>
      <w:lvlJc w:val="right"/>
      <w:pPr>
        <w:ind w:left="4500" w:hanging="180"/>
      </w:pPr>
    </w:lvl>
  </w:abstractNum>
  <w:abstractNum w:abstractNumId="43" w15:restartNumberingAfterBreak="0">
    <w:nsid w:val="70484AE1"/>
    <w:multiLevelType w:val="hybridMultilevel"/>
    <w:tmpl w:val="E0D021F6"/>
    <w:name w:val="CPSNumberingScheme"/>
    <w:lvl w:ilvl="0" w:tplc="27F2F8C8">
      <w:start w:val="1"/>
      <w:numFmt w:val="decimal"/>
      <w:lvlText w:val="%1."/>
      <w:lvlJc w:val="right"/>
      <w:pPr>
        <w:ind w:left="500" w:hanging="180"/>
      </w:pPr>
    </w:lvl>
    <w:lvl w:ilvl="1" w:tplc="C2769EE4">
      <w:start w:val="1"/>
      <w:numFmt w:val="decimal"/>
      <w:lvlText w:val="%2."/>
      <w:lvlJc w:val="right"/>
      <w:pPr>
        <w:ind w:left="1000" w:hanging="180"/>
      </w:pPr>
    </w:lvl>
    <w:lvl w:ilvl="2" w:tplc="14D21A0C">
      <w:start w:val="1"/>
      <w:numFmt w:val="decimal"/>
      <w:lvlText w:val="%3."/>
      <w:lvlJc w:val="right"/>
      <w:pPr>
        <w:ind w:left="1500" w:hanging="180"/>
      </w:pPr>
    </w:lvl>
    <w:lvl w:ilvl="3" w:tplc="BB38F274">
      <w:start w:val="1"/>
      <w:numFmt w:val="decimal"/>
      <w:lvlText w:val="%4."/>
      <w:lvlJc w:val="right"/>
      <w:pPr>
        <w:ind w:left="2000" w:hanging="180"/>
      </w:pPr>
    </w:lvl>
    <w:lvl w:ilvl="4" w:tplc="D1B80082">
      <w:start w:val="1"/>
      <w:numFmt w:val="decimal"/>
      <w:lvlText w:val="%5."/>
      <w:lvlJc w:val="right"/>
      <w:pPr>
        <w:ind w:left="2500" w:hanging="180"/>
      </w:pPr>
    </w:lvl>
    <w:lvl w:ilvl="5" w:tplc="C548F244">
      <w:start w:val="1"/>
      <w:numFmt w:val="decimal"/>
      <w:lvlText w:val="%6."/>
      <w:lvlJc w:val="right"/>
      <w:pPr>
        <w:ind w:left="3000" w:hanging="180"/>
      </w:pPr>
    </w:lvl>
    <w:lvl w:ilvl="6" w:tplc="DFC2C022">
      <w:start w:val="1"/>
      <w:numFmt w:val="decimal"/>
      <w:lvlText w:val="%7."/>
      <w:lvlJc w:val="right"/>
      <w:pPr>
        <w:ind w:left="3500" w:hanging="180"/>
      </w:pPr>
    </w:lvl>
    <w:lvl w:ilvl="7" w:tplc="631CB27A">
      <w:start w:val="1"/>
      <w:numFmt w:val="decimal"/>
      <w:lvlText w:val="%8."/>
      <w:lvlJc w:val="right"/>
      <w:pPr>
        <w:ind w:left="4000" w:hanging="180"/>
      </w:pPr>
    </w:lvl>
    <w:lvl w:ilvl="8" w:tplc="6A14FD3A">
      <w:start w:val="1"/>
      <w:numFmt w:val="decimal"/>
      <w:lvlText w:val="%9."/>
      <w:lvlJc w:val="right"/>
      <w:pPr>
        <w:ind w:left="4500" w:hanging="180"/>
      </w:pPr>
    </w:lvl>
  </w:abstractNum>
  <w:abstractNum w:abstractNumId="44" w15:restartNumberingAfterBreak="0">
    <w:nsid w:val="725A24BB"/>
    <w:multiLevelType w:val="hybridMultilevel"/>
    <w:tmpl w:val="A43C2120"/>
    <w:name w:val="CPSNumberingScheme"/>
    <w:lvl w:ilvl="0" w:tplc="08E6B59A">
      <w:start w:val="1"/>
      <w:numFmt w:val="decimal"/>
      <w:lvlText w:val="%1."/>
      <w:lvlJc w:val="right"/>
      <w:pPr>
        <w:ind w:left="500" w:hanging="180"/>
      </w:pPr>
    </w:lvl>
    <w:lvl w:ilvl="1" w:tplc="76505C58">
      <w:start w:val="1"/>
      <w:numFmt w:val="decimal"/>
      <w:lvlText w:val="%2."/>
      <w:lvlJc w:val="right"/>
      <w:pPr>
        <w:ind w:left="1000" w:hanging="180"/>
      </w:pPr>
    </w:lvl>
    <w:lvl w:ilvl="2" w:tplc="F8E05B22">
      <w:start w:val="1"/>
      <w:numFmt w:val="decimal"/>
      <w:lvlText w:val="%3."/>
      <w:lvlJc w:val="right"/>
      <w:pPr>
        <w:ind w:left="1500" w:hanging="180"/>
      </w:pPr>
    </w:lvl>
    <w:lvl w:ilvl="3" w:tplc="AEF22AD0">
      <w:start w:val="1"/>
      <w:numFmt w:val="decimal"/>
      <w:lvlText w:val="%4."/>
      <w:lvlJc w:val="right"/>
      <w:pPr>
        <w:ind w:left="2000" w:hanging="180"/>
      </w:pPr>
    </w:lvl>
    <w:lvl w:ilvl="4" w:tplc="EFDC6702">
      <w:start w:val="1"/>
      <w:numFmt w:val="decimal"/>
      <w:lvlText w:val="%5."/>
      <w:lvlJc w:val="right"/>
      <w:pPr>
        <w:ind w:left="2500" w:hanging="180"/>
      </w:pPr>
    </w:lvl>
    <w:lvl w:ilvl="5" w:tplc="0F4E607C">
      <w:start w:val="1"/>
      <w:numFmt w:val="decimal"/>
      <w:lvlText w:val="%6."/>
      <w:lvlJc w:val="right"/>
      <w:pPr>
        <w:ind w:left="3000" w:hanging="180"/>
      </w:pPr>
    </w:lvl>
    <w:lvl w:ilvl="6" w:tplc="FCCCA504">
      <w:start w:val="1"/>
      <w:numFmt w:val="decimal"/>
      <w:lvlText w:val="%7."/>
      <w:lvlJc w:val="right"/>
      <w:pPr>
        <w:ind w:left="3500" w:hanging="180"/>
      </w:pPr>
    </w:lvl>
    <w:lvl w:ilvl="7" w:tplc="F3CC77F6">
      <w:start w:val="1"/>
      <w:numFmt w:val="decimal"/>
      <w:lvlText w:val="%8."/>
      <w:lvlJc w:val="right"/>
      <w:pPr>
        <w:ind w:left="4000" w:hanging="180"/>
      </w:pPr>
    </w:lvl>
    <w:lvl w:ilvl="8" w:tplc="BDF04FEE">
      <w:start w:val="1"/>
      <w:numFmt w:val="decimal"/>
      <w:lvlText w:val="%9."/>
      <w:lvlJc w:val="right"/>
      <w:pPr>
        <w:ind w:left="4500" w:hanging="180"/>
      </w:pPr>
    </w:lvl>
  </w:abstractNum>
  <w:abstractNum w:abstractNumId="45" w15:restartNumberingAfterBreak="0">
    <w:nsid w:val="7C4C4A2D"/>
    <w:multiLevelType w:val="hybridMultilevel"/>
    <w:tmpl w:val="D8DCF0B0"/>
    <w:name w:val="CPSNumberingScheme"/>
    <w:lvl w:ilvl="0" w:tplc="11FC6EEC">
      <w:start w:val="1"/>
      <w:numFmt w:val="decimal"/>
      <w:lvlText w:val="%1."/>
      <w:lvlJc w:val="right"/>
      <w:pPr>
        <w:ind w:left="500" w:hanging="180"/>
      </w:pPr>
    </w:lvl>
    <w:lvl w:ilvl="1" w:tplc="DD34C142">
      <w:start w:val="1"/>
      <w:numFmt w:val="decimal"/>
      <w:lvlText w:val="%2."/>
      <w:lvlJc w:val="right"/>
      <w:pPr>
        <w:ind w:left="1000" w:hanging="180"/>
      </w:pPr>
    </w:lvl>
    <w:lvl w:ilvl="2" w:tplc="A6FED1D2">
      <w:start w:val="1"/>
      <w:numFmt w:val="decimal"/>
      <w:lvlText w:val="%3."/>
      <w:lvlJc w:val="right"/>
      <w:pPr>
        <w:ind w:left="1500" w:hanging="180"/>
      </w:pPr>
    </w:lvl>
    <w:lvl w:ilvl="3" w:tplc="15F4A364">
      <w:start w:val="1"/>
      <w:numFmt w:val="decimal"/>
      <w:lvlText w:val="%4."/>
      <w:lvlJc w:val="right"/>
      <w:pPr>
        <w:ind w:left="2000" w:hanging="180"/>
      </w:pPr>
    </w:lvl>
    <w:lvl w:ilvl="4" w:tplc="AB22A9B6">
      <w:start w:val="1"/>
      <w:numFmt w:val="decimal"/>
      <w:lvlText w:val="%5."/>
      <w:lvlJc w:val="right"/>
      <w:pPr>
        <w:ind w:left="2500" w:hanging="180"/>
      </w:pPr>
    </w:lvl>
    <w:lvl w:ilvl="5" w:tplc="4B98887E">
      <w:start w:val="1"/>
      <w:numFmt w:val="decimal"/>
      <w:lvlText w:val="%6."/>
      <w:lvlJc w:val="right"/>
      <w:pPr>
        <w:ind w:left="3000" w:hanging="180"/>
      </w:pPr>
    </w:lvl>
    <w:lvl w:ilvl="6" w:tplc="DF8A3E08">
      <w:start w:val="1"/>
      <w:numFmt w:val="decimal"/>
      <w:lvlText w:val="%7."/>
      <w:lvlJc w:val="right"/>
      <w:pPr>
        <w:ind w:left="3500" w:hanging="180"/>
      </w:pPr>
    </w:lvl>
    <w:lvl w:ilvl="7" w:tplc="4336E0FC">
      <w:start w:val="1"/>
      <w:numFmt w:val="decimal"/>
      <w:lvlText w:val="%8."/>
      <w:lvlJc w:val="right"/>
      <w:pPr>
        <w:ind w:left="4000" w:hanging="180"/>
      </w:pPr>
    </w:lvl>
    <w:lvl w:ilvl="8" w:tplc="CB260EFC">
      <w:start w:val="1"/>
      <w:numFmt w:val="decimal"/>
      <w:lvlText w:val="%9."/>
      <w:lvlJc w:val="right"/>
      <w:pPr>
        <w:ind w:left="4500" w:hanging="180"/>
      </w:pPr>
    </w:lvl>
  </w:abstractNum>
  <w:abstractNum w:abstractNumId="46" w15:restartNumberingAfterBreak="0">
    <w:nsid w:val="7C953488"/>
    <w:multiLevelType w:val="hybridMultilevel"/>
    <w:tmpl w:val="1DB628B0"/>
    <w:name w:val="CPSNumberingScheme"/>
    <w:lvl w:ilvl="0" w:tplc="6658C7E2">
      <w:start w:val="1"/>
      <w:numFmt w:val="decimal"/>
      <w:lvlText w:val="%1."/>
      <w:lvlJc w:val="right"/>
      <w:pPr>
        <w:ind w:left="500" w:hanging="180"/>
      </w:pPr>
    </w:lvl>
    <w:lvl w:ilvl="1" w:tplc="A3883F82">
      <w:start w:val="1"/>
      <w:numFmt w:val="decimal"/>
      <w:lvlText w:val="%2."/>
      <w:lvlJc w:val="right"/>
      <w:pPr>
        <w:ind w:left="1000" w:hanging="180"/>
      </w:pPr>
    </w:lvl>
    <w:lvl w:ilvl="2" w:tplc="BBE4C6F4">
      <w:start w:val="1"/>
      <w:numFmt w:val="decimal"/>
      <w:lvlText w:val="%3."/>
      <w:lvlJc w:val="right"/>
      <w:pPr>
        <w:ind w:left="1500" w:hanging="180"/>
      </w:pPr>
    </w:lvl>
    <w:lvl w:ilvl="3" w:tplc="14427522">
      <w:start w:val="1"/>
      <w:numFmt w:val="decimal"/>
      <w:lvlText w:val="%4."/>
      <w:lvlJc w:val="right"/>
      <w:pPr>
        <w:ind w:left="2000" w:hanging="180"/>
      </w:pPr>
    </w:lvl>
    <w:lvl w:ilvl="4" w:tplc="FB98928E">
      <w:start w:val="1"/>
      <w:numFmt w:val="decimal"/>
      <w:lvlText w:val="%5."/>
      <w:lvlJc w:val="right"/>
      <w:pPr>
        <w:ind w:left="2500" w:hanging="180"/>
      </w:pPr>
    </w:lvl>
    <w:lvl w:ilvl="5" w:tplc="BC94F6B2">
      <w:start w:val="1"/>
      <w:numFmt w:val="decimal"/>
      <w:lvlText w:val="%6."/>
      <w:lvlJc w:val="right"/>
      <w:pPr>
        <w:ind w:left="3000" w:hanging="180"/>
      </w:pPr>
    </w:lvl>
    <w:lvl w:ilvl="6" w:tplc="8FE0E754">
      <w:start w:val="1"/>
      <w:numFmt w:val="decimal"/>
      <w:lvlText w:val="%7."/>
      <w:lvlJc w:val="right"/>
      <w:pPr>
        <w:ind w:left="3500" w:hanging="180"/>
      </w:pPr>
    </w:lvl>
    <w:lvl w:ilvl="7" w:tplc="FE9E8F42">
      <w:start w:val="1"/>
      <w:numFmt w:val="decimal"/>
      <w:lvlText w:val="%8."/>
      <w:lvlJc w:val="right"/>
      <w:pPr>
        <w:ind w:left="4000" w:hanging="180"/>
      </w:pPr>
    </w:lvl>
    <w:lvl w:ilvl="8" w:tplc="74E4E020">
      <w:start w:val="1"/>
      <w:numFmt w:val="decimal"/>
      <w:lvlText w:val="%9."/>
      <w:lvlJc w:val="right"/>
      <w:pPr>
        <w:ind w:left="4500" w:hanging="180"/>
      </w:pPr>
    </w:lvl>
  </w:abstractNum>
  <w:num w:numId="1" w16cid:durableId="657809957">
    <w:abstractNumId w:val="15"/>
  </w:num>
  <w:num w:numId="2" w16cid:durableId="1030953863">
    <w:abstractNumId w:val="9"/>
  </w:num>
  <w:num w:numId="3" w16cid:durableId="395204035">
    <w:abstractNumId w:val="32"/>
  </w:num>
  <w:num w:numId="4" w16cid:durableId="903954633">
    <w:abstractNumId w:val="0"/>
  </w:num>
  <w:num w:numId="5" w16cid:durableId="1061058380">
    <w:abstractNumId w:val="38"/>
  </w:num>
  <w:num w:numId="6" w16cid:durableId="754712873">
    <w:abstractNumId w:val="6"/>
    <w:lvlOverride w:ilvl="0">
      <w:startOverride w:val="1"/>
      <w:lvl w:ilvl="0" w:tplc="0C50D1C0">
        <w:start w:val="1"/>
        <w:numFmt w:val="bullet"/>
        <w:lvlText w:val=""/>
        <w:lvlJc w:val="right"/>
        <w:pPr>
          <w:ind w:left="500" w:hanging="180"/>
        </w:pPr>
        <w:rPr>
          <w:rFonts w:ascii="Symbol" w:hAnsi="Symbol" w:hint="default"/>
        </w:rPr>
      </w:lvl>
    </w:lvlOverride>
    <w:lvlOverride w:ilvl="1">
      <w:startOverride w:val="1"/>
      <w:lvl w:ilvl="1" w:tplc="3802F1C4">
        <w:start w:val="1"/>
        <w:numFmt w:val="decimal"/>
        <w:lvlText w:val="%2."/>
        <w:lvlJc w:val="right"/>
        <w:pPr>
          <w:ind w:left="1000" w:hanging="180"/>
        </w:pPr>
      </w:lvl>
    </w:lvlOverride>
    <w:lvlOverride w:ilvl="2">
      <w:startOverride w:val="1"/>
      <w:lvl w:ilvl="2" w:tplc="9A263B4E">
        <w:start w:val="1"/>
        <w:numFmt w:val="decimal"/>
        <w:lvlText w:val="%3."/>
        <w:lvlJc w:val="right"/>
        <w:pPr>
          <w:ind w:left="1500" w:hanging="180"/>
        </w:pPr>
      </w:lvl>
    </w:lvlOverride>
    <w:lvlOverride w:ilvl="3">
      <w:startOverride w:val="1"/>
      <w:lvl w:ilvl="3" w:tplc="879AA1D0">
        <w:start w:val="1"/>
        <w:numFmt w:val="decimal"/>
        <w:lvlText w:val="%4."/>
        <w:lvlJc w:val="right"/>
        <w:pPr>
          <w:ind w:left="2000" w:hanging="180"/>
        </w:pPr>
      </w:lvl>
    </w:lvlOverride>
    <w:lvlOverride w:ilvl="4">
      <w:startOverride w:val="1"/>
      <w:lvl w:ilvl="4" w:tplc="49AE0DA4">
        <w:start w:val="1"/>
        <w:numFmt w:val="decimal"/>
        <w:lvlText w:val="%5."/>
        <w:lvlJc w:val="right"/>
        <w:pPr>
          <w:ind w:left="2500" w:hanging="180"/>
        </w:pPr>
      </w:lvl>
    </w:lvlOverride>
    <w:lvlOverride w:ilvl="5">
      <w:startOverride w:val="1"/>
      <w:lvl w:ilvl="5" w:tplc="9FC8418C">
        <w:start w:val="1"/>
        <w:numFmt w:val="decimal"/>
        <w:lvlText w:val="%6."/>
        <w:lvlJc w:val="right"/>
        <w:pPr>
          <w:ind w:left="3000" w:hanging="180"/>
        </w:pPr>
      </w:lvl>
    </w:lvlOverride>
    <w:lvlOverride w:ilvl="6">
      <w:startOverride w:val="1"/>
      <w:lvl w:ilvl="6" w:tplc="232493E2">
        <w:start w:val="1"/>
        <w:numFmt w:val="decimal"/>
        <w:lvlText w:val="%7."/>
        <w:lvlJc w:val="right"/>
        <w:pPr>
          <w:ind w:left="3500" w:hanging="180"/>
        </w:pPr>
      </w:lvl>
    </w:lvlOverride>
    <w:lvlOverride w:ilvl="7">
      <w:startOverride w:val="1"/>
      <w:lvl w:ilvl="7" w:tplc="C69A751E">
        <w:start w:val="1"/>
        <w:numFmt w:val="decimal"/>
        <w:lvlText w:val="%8."/>
        <w:lvlJc w:val="right"/>
        <w:pPr>
          <w:ind w:left="4000" w:hanging="180"/>
        </w:pPr>
      </w:lvl>
    </w:lvlOverride>
    <w:lvlOverride w:ilvl="8">
      <w:startOverride w:val="1"/>
      <w:lvl w:ilvl="8" w:tplc="72140B3A">
        <w:start w:val="1"/>
        <w:numFmt w:val="decimal"/>
        <w:lvlText w:val="%9."/>
        <w:lvlJc w:val="right"/>
        <w:pPr>
          <w:ind w:left="4500" w:hanging="180"/>
        </w:pPr>
      </w:lvl>
    </w:lvlOverride>
  </w:num>
  <w:num w:numId="7" w16cid:durableId="682053266">
    <w:abstractNumId w:val="16"/>
    <w:lvlOverride w:ilvl="0">
      <w:startOverride w:val="1"/>
      <w:lvl w:ilvl="0" w:tplc="A5D67FE6">
        <w:start w:val="1"/>
        <w:numFmt w:val="bullet"/>
        <w:lvlText w:val=""/>
        <w:lvlJc w:val="right"/>
        <w:pPr>
          <w:ind w:left="500" w:hanging="180"/>
        </w:pPr>
        <w:rPr>
          <w:rFonts w:ascii="Symbol" w:hAnsi="Symbol" w:hint="default"/>
        </w:rPr>
      </w:lvl>
    </w:lvlOverride>
    <w:lvlOverride w:ilvl="1">
      <w:startOverride w:val="1"/>
      <w:lvl w:ilvl="1" w:tplc="34C60DA0">
        <w:start w:val="1"/>
        <w:numFmt w:val="decimal"/>
        <w:lvlText w:val="%2."/>
        <w:lvlJc w:val="right"/>
        <w:pPr>
          <w:ind w:left="1000" w:hanging="180"/>
        </w:pPr>
      </w:lvl>
    </w:lvlOverride>
    <w:lvlOverride w:ilvl="2">
      <w:startOverride w:val="1"/>
      <w:lvl w:ilvl="2" w:tplc="0F60576E">
        <w:start w:val="1"/>
        <w:numFmt w:val="decimal"/>
        <w:lvlText w:val="%3."/>
        <w:lvlJc w:val="right"/>
        <w:pPr>
          <w:ind w:left="1500" w:hanging="180"/>
        </w:pPr>
      </w:lvl>
    </w:lvlOverride>
    <w:lvlOverride w:ilvl="3">
      <w:startOverride w:val="1"/>
      <w:lvl w:ilvl="3" w:tplc="8702BF6C">
        <w:start w:val="1"/>
        <w:numFmt w:val="decimal"/>
        <w:lvlText w:val="%4."/>
        <w:lvlJc w:val="right"/>
        <w:pPr>
          <w:ind w:left="2000" w:hanging="180"/>
        </w:pPr>
      </w:lvl>
    </w:lvlOverride>
    <w:lvlOverride w:ilvl="4">
      <w:startOverride w:val="1"/>
      <w:lvl w:ilvl="4" w:tplc="34E20F6E">
        <w:start w:val="1"/>
        <w:numFmt w:val="decimal"/>
        <w:lvlText w:val="%5."/>
        <w:lvlJc w:val="right"/>
        <w:pPr>
          <w:ind w:left="2500" w:hanging="180"/>
        </w:pPr>
      </w:lvl>
    </w:lvlOverride>
    <w:lvlOverride w:ilvl="5">
      <w:startOverride w:val="1"/>
      <w:lvl w:ilvl="5" w:tplc="4A60BF34">
        <w:start w:val="1"/>
        <w:numFmt w:val="decimal"/>
        <w:lvlText w:val="%6."/>
        <w:lvlJc w:val="right"/>
        <w:pPr>
          <w:ind w:left="3000" w:hanging="180"/>
        </w:pPr>
      </w:lvl>
    </w:lvlOverride>
    <w:lvlOverride w:ilvl="6">
      <w:startOverride w:val="1"/>
      <w:lvl w:ilvl="6" w:tplc="A5263B1A">
        <w:start w:val="1"/>
        <w:numFmt w:val="decimal"/>
        <w:lvlText w:val="%7."/>
        <w:lvlJc w:val="right"/>
        <w:pPr>
          <w:ind w:left="3500" w:hanging="180"/>
        </w:pPr>
      </w:lvl>
    </w:lvlOverride>
    <w:lvlOverride w:ilvl="7">
      <w:startOverride w:val="1"/>
      <w:lvl w:ilvl="7" w:tplc="AF361A7A">
        <w:start w:val="1"/>
        <w:numFmt w:val="decimal"/>
        <w:lvlText w:val="%8."/>
        <w:lvlJc w:val="right"/>
        <w:pPr>
          <w:ind w:left="4000" w:hanging="180"/>
        </w:pPr>
      </w:lvl>
    </w:lvlOverride>
    <w:lvlOverride w:ilvl="8">
      <w:startOverride w:val="1"/>
      <w:lvl w:ilvl="8" w:tplc="310E4C2C">
        <w:start w:val="1"/>
        <w:numFmt w:val="decimal"/>
        <w:lvlText w:val="%9."/>
        <w:lvlJc w:val="right"/>
        <w:pPr>
          <w:ind w:left="4500" w:hanging="180"/>
        </w:pPr>
      </w:lvl>
    </w:lvlOverride>
  </w:num>
  <w:num w:numId="8" w16cid:durableId="70586756">
    <w:abstractNumId w:val="21"/>
    <w:lvlOverride w:ilvl="0">
      <w:startOverride w:val="1"/>
      <w:lvl w:ilvl="0" w:tplc="598824A2">
        <w:start w:val="1"/>
        <w:numFmt w:val="bullet"/>
        <w:lvlText w:val=""/>
        <w:lvlJc w:val="right"/>
        <w:pPr>
          <w:ind w:left="500" w:hanging="180"/>
        </w:pPr>
        <w:rPr>
          <w:rFonts w:ascii="Symbol" w:hAnsi="Symbol" w:hint="default"/>
        </w:rPr>
      </w:lvl>
    </w:lvlOverride>
    <w:lvlOverride w:ilvl="1">
      <w:startOverride w:val="1"/>
      <w:lvl w:ilvl="1" w:tplc="A600FDFE">
        <w:start w:val="1"/>
        <w:numFmt w:val="decimal"/>
        <w:lvlText w:val="%2."/>
        <w:lvlJc w:val="right"/>
        <w:pPr>
          <w:ind w:left="1000" w:hanging="180"/>
        </w:pPr>
      </w:lvl>
    </w:lvlOverride>
    <w:lvlOverride w:ilvl="2">
      <w:startOverride w:val="1"/>
      <w:lvl w:ilvl="2" w:tplc="AF0E5628">
        <w:start w:val="1"/>
        <w:numFmt w:val="decimal"/>
        <w:lvlText w:val="%3."/>
        <w:lvlJc w:val="right"/>
        <w:pPr>
          <w:ind w:left="1500" w:hanging="180"/>
        </w:pPr>
      </w:lvl>
    </w:lvlOverride>
    <w:lvlOverride w:ilvl="3">
      <w:startOverride w:val="1"/>
      <w:lvl w:ilvl="3" w:tplc="9434F964">
        <w:start w:val="1"/>
        <w:numFmt w:val="decimal"/>
        <w:lvlText w:val="%4."/>
        <w:lvlJc w:val="right"/>
        <w:pPr>
          <w:ind w:left="2000" w:hanging="180"/>
        </w:pPr>
      </w:lvl>
    </w:lvlOverride>
    <w:lvlOverride w:ilvl="4">
      <w:startOverride w:val="1"/>
      <w:lvl w:ilvl="4" w:tplc="3D929EDC">
        <w:start w:val="1"/>
        <w:numFmt w:val="decimal"/>
        <w:lvlText w:val="%5."/>
        <w:lvlJc w:val="right"/>
        <w:pPr>
          <w:ind w:left="2500" w:hanging="180"/>
        </w:pPr>
      </w:lvl>
    </w:lvlOverride>
    <w:lvlOverride w:ilvl="5">
      <w:startOverride w:val="1"/>
      <w:lvl w:ilvl="5" w:tplc="EE782348">
        <w:start w:val="1"/>
        <w:numFmt w:val="decimal"/>
        <w:lvlText w:val="%6."/>
        <w:lvlJc w:val="right"/>
        <w:pPr>
          <w:ind w:left="3000" w:hanging="180"/>
        </w:pPr>
      </w:lvl>
    </w:lvlOverride>
    <w:lvlOverride w:ilvl="6">
      <w:startOverride w:val="1"/>
      <w:lvl w:ilvl="6" w:tplc="E60ACD1C">
        <w:start w:val="1"/>
        <w:numFmt w:val="decimal"/>
        <w:lvlText w:val="%7."/>
        <w:lvlJc w:val="right"/>
        <w:pPr>
          <w:ind w:left="3500" w:hanging="180"/>
        </w:pPr>
      </w:lvl>
    </w:lvlOverride>
    <w:lvlOverride w:ilvl="7">
      <w:startOverride w:val="1"/>
      <w:lvl w:ilvl="7" w:tplc="554E1250">
        <w:start w:val="1"/>
        <w:numFmt w:val="decimal"/>
        <w:lvlText w:val="%8."/>
        <w:lvlJc w:val="right"/>
        <w:pPr>
          <w:ind w:left="4000" w:hanging="180"/>
        </w:pPr>
      </w:lvl>
    </w:lvlOverride>
    <w:lvlOverride w:ilvl="8">
      <w:startOverride w:val="1"/>
      <w:lvl w:ilvl="8" w:tplc="DF601148">
        <w:start w:val="1"/>
        <w:numFmt w:val="decimal"/>
        <w:lvlText w:val="%9."/>
        <w:lvlJc w:val="right"/>
        <w:pPr>
          <w:ind w:left="4500" w:hanging="180"/>
        </w:pPr>
      </w:lvl>
    </w:lvlOverride>
  </w:num>
  <w:num w:numId="9" w16cid:durableId="1433430841">
    <w:abstractNumId w:val="12"/>
    <w:lvlOverride w:ilvl="0">
      <w:startOverride w:val="1"/>
      <w:lvl w:ilvl="0" w:tplc="6D8E4F3A">
        <w:start w:val="1"/>
        <w:numFmt w:val="bullet"/>
        <w:lvlText w:val=""/>
        <w:lvlJc w:val="right"/>
        <w:pPr>
          <w:ind w:left="500" w:hanging="180"/>
        </w:pPr>
        <w:rPr>
          <w:rFonts w:ascii="Symbol" w:hAnsi="Symbol" w:hint="default"/>
        </w:rPr>
      </w:lvl>
    </w:lvlOverride>
    <w:lvlOverride w:ilvl="1">
      <w:startOverride w:val="1"/>
      <w:lvl w:ilvl="1" w:tplc="BB10D54E">
        <w:start w:val="1"/>
        <w:numFmt w:val="decimal"/>
        <w:lvlText w:val="%2."/>
        <w:lvlJc w:val="right"/>
        <w:pPr>
          <w:ind w:left="1000" w:hanging="180"/>
        </w:pPr>
      </w:lvl>
    </w:lvlOverride>
    <w:lvlOverride w:ilvl="2">
      <w:startOverride w:val="1"/>
      <w:lvl w:ilvl="2" w:tplc="CD9C8614">
        <w:start w:val="1"/>
        <w:numFmt w:val="decimal"/>
        <w:lvlText w:val="%3."/>
        <w:lvlJc w:val="right"/>
        <w:pPr>
          <w:ind w:left="1500" w:hanging="180"/>
        </w:pPr>
      </w:lvl>
    </w:lvlOverride>
    <w:lvlOverride w:ilvl="3">
      <w:startOverride w:val="1"/>
      <w:lvl w:ilvl="3" w:tplc="19AE72F2">
        <w:start w:val="1"/>
        <w:numFmt w:val="decimal"/>
        <w:lvlText w:val="%4."/>
        <w:lvlJc w:val="right"/>
        <w:pPr>
          <w:ind w:left="2000" w:hanging="180"/>
        </w:pPr>
      </w:lvl>
    </w:lvlOverride>
    <w:lvlOverride w:ilvl="4">
      <w:startOverride w:val="1"/>
      <w:lvl w:ilvl="4" w:tplc="1FCC216A">
        <w:start w:val="1"/>
        <w:numFmt w:val="decimal"/>
        <w:lvlText w:val="%5."/>
        <w:lvlJc w:val="right"/>
        <w:pPr>
          <w:ind w:left="2500" w:hanging="180"/>
        </w:pPr>
      </w:lvl>
    </w:lvlOverride>
    <w:lvlOverride w:ilvl="5">
      <w:startOverride w:val="1"/>
      <w:lvl w:ilvl="5" w:tplc="2C68107A">
        <w:start w:val="1"/>
        <w:numFmt w:val="decimal"/>
        <w:lvlText w:val="%6."/>
        <w:lvlJc w:val="right"/>
        <w:pPr>
          <w:ind w:left="3000" w:hanging="180"/>
        </w:pPr>
      </w:lvl>
    </w:lvlOverride>
    <w:lvlOverride w:ilvl="6">
      <w:startOverride w:val="1"/>
      <w:lvl w:ilvl="6" w:tplc="89E81B88">
        <w:start w:val="1"/>
        <w:numFmt w:val="decimal"/>
        <w:lvlText w:val="%7."/>
        <w:lvlJc w:val="right"/>
        <w:pPr>
          <w:ind w:left="3500" w:hanging="180"/>
        </w:pPr>
      </w:lvl>
    </w:lvlOverride>
    <w:lvlOverride w:ilvl="7">
      <w:startOverride w:val="1"/>
      <w:lvl w:ilvl="7" w:tplc="A4C460BC">
        <w:start w:val="1"/>
        <w:numFmt w:val="decimal"/>
        <w:lvlText w:val="%8."/>
        <w:lvlJc w:val="right"/>
        <w:pPr>
          <w:ind w:left="4000" w:hanging="180"/>
        </w:pPr>
      </w:lvl>
    </w:lvlOverride>
    <w:lvlOverride w:ilvl="8">
      <w:startOverride w:val="1"/>
      <w:lvl w:ilvl="8" w:tplc="74F8CA44">
        <w:start w:val="1"/>
        <w:numFmt w:val="decimal"/>
        <w:lvlText w:val="%9."/>
        <w:lvlJc w:val="right"/>
        <w:pPr>
          <w:ind w:left="4500" w:hanging="180"/>
        </w:pPr>
      </w:lvl>
    </w:lvlOverride>
  </w:num>
  <w:num w:numId="10" w16cid:durableId="2083215838">
    <w:abstractNumId w:val="31"/>
    <w:lvlOverride w:ilvl="0">
      <w:startOverride w:val="1"/>
      <w:lvl w:ilvl="0" w:tplc="28D83BB2">
        <w:start w:val="1"/>
        <w:numFmt w:val="bullet"/>
        <w:lvlText w:val=""/>
        <w:lvlJc w:val="right"/>
        <w:pPr>
          <w:ind w:left="500" w:hanging="180"/>
        </w:pPr>
        <w:rPr>
          <w:rFonts w:ascii="Symbol" w:hAnsi="Symbol" w:hint="default"/>
        </w:rPr>
      </w:lvl>
    </w:lvlOverride>
    <w:lvlOverride w:ilvl="1">
      <w:startOverride w:val="1"/>
      <w:lvl w:ilvl="1" w:tplc="8A6A8542">
        <w:start w:val="1"/>
        <w:numFmt w:val="decimal"/>
        <w:lvlText w:val="%2."/>
        <w:lvlJc w:val="right"/>
        <w:pPr>
          <w:ind w:left="1000" w:hanging="180"/>
        </w:pPr>
      </w:lvl>
    </w:lvlOverride>
    <w:lvlOverride w:ilvl="2">
      <w:startOverride w:val="1"/>
      <w:lvl w:ilvl="2" w:tplc="D3E8F740">
        <w:start w:val="1"/>
        <w:numFmt w:val="decimal"/>
        <w:lvlText w:val="%3."/>
        <w:lvlJc w:val="right"/>
        <w:pPr>
          <w:ind w:left="1500" w:hanging="180"/>
        </w:pPr>
      </w:lvl>
    </w:lvlOverride>
    <w:lvlOverride w:ilvl="3">
      <w:startOverride w:val="1"/>
      <w:lvl w:ilvl="3" w:tplc="07024EF8">
        <w:start w:val="1"/>
        <w:numFmt w:val="decimal"/>
        <w:lvlText w:val="%4."/>
        <w:lvlJc w:val="right"/>
        <w:pPr>
          <w:ind w:left="2000" w:hanging="180"/>
        </w:pPr>
      </w:lvl>
    </w:lvlOverride>
    <w:lvlOverride w:ilvl="4">
      <w:startOverride w:val="1"/>
      <w:lvl w:ilvl="4" w:tplc="D7B60B0E">
        <w:start w:val="1"/>
        <w:numFmt w:val="decimal"/>
        <w:lvlText w:val="%5."/>
        <w:lvlJc w:val="right"/>
        <w:pPr>
          <w:ind w:left="2500" w:hanging="180"/>
        </w:pPr>
      </w:lvl>
    </w:lvlOverride>
    <w:lvlOverride w:ilvl="5">
      <w:startOverride w:val="1"/>
      <w:lvl w:ilvl="5" w:tplc="56CAF9B2">
        <w:start w:val="1"/>
        <w:numFmt w:val="decimal"/>
        <w:lvlText w:val="%6."/>
        <w:lvlJc w:val="right"/>
        <w:pPr>
          <w:ind w:left="3000" w:hanging="180"/>
        </w:pPr>
      </w:lvl>
    </w:lvlOverride>
    <w:lvlOverride w:ilvl="6">
      <w:startOverride w:val="1"/>
      <w:lvl w:ilvl="6" w:tplc="ABF46370">
        <w:start w:val="1"/>
        <w:numFmt w:val="decimal"/>
        <w:lvlText w:val="%7."/>
        <w:lvlJc w:val="right"/>
        <w:pPr>
          <w:ind w:left="3500" w:hanging="180"/>
        </w:pPr>
      </w:lvl>
    </w:lvlOverride>
    <w:lvlOverride w:ilvl="7">
      <w:startOverride w:val="1"/>
      <w:lvl w:ilvl="7" w:tplc="1914863A">
        <w:start w:val="1"/>
        <w:numFmt w:val="decimal"/>
        <w:lvlText w:val="%8."/>
        <w:lvlJc w:val="right"/>
        <w:pPr>
          <w:ind w:left="4000" w:hanging="180"/>
        </w:pPr>
      </w:lvl>
    </w:lvlOverride>
    <w:lvlOverride w:ilvl="8">
      <w:startOverride w:val="1"/>
      <w:lvl w:ilvl="8" w:tplc="E74859B2">
        <w:start w:val="1"/>
        <w:numFmt w:val="decimal"/>
        <w:lvlText w:val="%9."/>
        <w:lvlJc w:val="right"/>
        <w:pPr>
          <w:ind w:left="4500" w:hanging="180"/>
        </w:pPr>
      </w:lvl>
    </w:lvlOverride>
  </w:num>
  <w:num w:numId="11" w16cid:durableId="106168652">
    <w:abstractNumId w:val="44"/>
    <w:lvlOverride w:ilvl="0">
      <w:startOverride w:val="1"/>
      <w:lvl w:ilvl="0" w:tplc="08E6B59A">
        <w:start w:val="1"/>
        <w:numFmt w:val="bullet"/>
        <w:lvlText w:val=""/>
        <w:lvlJc w:val="right"/>
        <w:pPr>
          <w:ind w:left="500" w:hanging="180"/>
        </w:pPr>
        <w:rPr>
          <w:rFonts w:ascii="Symbol" w:hAnsi="Symbol" w:hint="default"/>
        </w:rPr>
      </w:lvl>
    </w:lvlOverride>
    <w:lvlOverride w:ilvl="1">
      <w:startOverride w:val="1"/>
      <w:lvl w:ilvl="1" w:tplc="76505C58">
        <w:start w:val="1"/>
        <w:numFmt w:val="decimal"/>
        <w:lvlText w:val="%2."/>
        <w:lvlJc w:val="right"/>
        <w:pPr>
          <w:ind w:left="1000" w:hanging="180"/>
        </w:pPr>
      </w:lvl>
    </w:lvlOverride>
    <w:lvlOverride w:ilvl="2">
      <w:startOverride w:val="1"/>
      <w:lvl w:ilvl="2" w:tplc="F8E05B22">
        <w:start w:val="1"/>
        <w:numFmt w:val="decimal"/>
        <w:lvlText w:val="%3."/>
        <w:lvlJc w:val="right"/>
        <w:pPr>
          <w:ind w:left="1500" w:hanging="180"/>
        </w:pPr>
      </w:lvl>
    </w:lvlOverride>
    <w:lvlOverride w:ilvl="3">
      <w:startOverride w:val="1"/>
      <w:lvl w:ilvl="3" w:tplc="AEF22AD0">
        <w:start w:val="1"/>
        <w:numFmt w:val="decimal"/>
        <w:lvlText w:val="%4."/>
        <w:lvlJc w:val="right"/>
        <w:pPr>
          <w:ind w:left="2000" w:hanging="180"/>
        </w:pPr>
      </w:lvl>
    </w:lvlOverride>
    <w:lvlOverride w:ilvl="4">
      <w:startOverride w:val="1"/>
      <w:lvl w:ilvl="4" w:tplc="EFDC6702">
        <w:start w:val="1"/>
        <w:numFmt w:val="decimal"/>
        <w:lvlText w:val="%5."/>
        <w:lvlJc w:val="right"/>
        <w:pPr>
          <w:ind w:left="2500" w:hanging="180"/>
        </w:pPr>
      </w:lvl>
    </w:lvlOverride>
    <w:lvlOverride w:ilvl="5">
      <w:startOverride w:val="1"/>
      <w:lvl w:ilvl="5" w:tplc="0F4E607C">
        <w:start w:val="1"/>
        <w:numFmt w:val="decimal"/>
        <w:lvlText w:val="%6."/>
        <w:lvlJc w:val="right"/>
        <w:pPr>
          <w:ind w:left="3000" w:hanging="180"/>
        </w:pPr>
      </w:lvl>
    </w:lvlOverride>
    <w:lvlOverride w:ilvl="6">
      <w:startOverride w:val="1"/>
      <w:lvl w:ilvl="6" w:tplc="FCCCA504">
        <w:start w:val="1"/>
        <w:numFmt w:val="decimal"/>
        <w:lvlText w:val="%7."/>
        <w:lvlJc w:val="right"/>
        <w:pPr>
          <w:ind w:left="3500" w:hanging="180"/>
        </w:pPr>
      </w:lvl>
    </w:lvlOverride>
    <w:lvlOverride w:ilvl="7">
      <w:startOverride w:val="1"/>
      <w:lvl w:ilvl="7" w:tplc="F3CC77F6">
        <w:start w:val="1"/>
        <w:numFmt w:val="decimal"/>
        <w:lvlText w:val="%8."/>
        <w:lvlJc w:val="right"/>
        <w:pPr>
          <w:ind w:left="4000" w:hanging="180"/>
        </w:pPr>
      </w:lvl>
    </w:lvlOverride>
    <w:lvlOverride w:ilvl="8">
      <w:startOverride w:val="1"/>
      <w:lvl w:ilvl="8" w:tplc="BDF04FEE">
        <w:start w:val="1"/>
        <w:numFmt w:val="decimal"/>
        <w:lvlText w:val="%9."/>
        <w:lvlJc w:val="right"/>
        <w:pPr>
          <w:ind w:left="4500" w:hanging="180"/>
        </w:pPr>
      </w:lvl>
    </w:lvlOverride>
  </w:num>
  <w:num w:numId="12" w16cid:durableId="1201893372">
    <w:abstractNumId w:val="7"/>
    <w:lvlOverride w:ilvl="0">
      <w:startOverride w:val="1"/>
      <w:lvl w:ilvl="0" w:tplc="1310AA6E">
        <w:start w:val="1"/>
        <w:numFmt w:val="bullet"/>
        <w:lvlText w:val=""/>
        <w:lvlJc w:val="right"/>
        <w:pPr>
          <w:ind w:left="500" w:hanging="180"/>
        </w:pPr>
        <w:rPr>
          <w:rFonts w:ascii="Symbol" w:hAnsi="Symbol" w:hint="default"/>
        </w:rPr>
      </w:lvl>
    </w:lvlOverride>
    <w:lvlOverride w:ilvl="1">
      <w:startOverride w:val="1"/>
      <w:lvl w:ilvl="1" w:tplc="B33A4CBA">
        <w:start w:val="1"/>
        <w:numFmt w:val="decimal"/>
        <w:lvlText w:val="%2."/>
        <w:lvlJc w:val="right"/>
        <w:pPr>
          <w:ind w:left="1000" w:hanging="180"/>
        </w:pPr>
      </w:lvl>
    </w:lvlOverride>
    <w:lvlOverride w:ilvl="2">
      <w:startOverride w:val="1"/>
      <w:lvl w:ilvl="2" w:tplc="0344C538">
        <w:start w:val="1"/>
        <w:numFmt w:val="decimal"/>
        <w:lvlText w:val="%3."/>
        <w:lvlJc w:val="right"/>
        <w:pPr>
          <w:ind w:left="1500" w:hanging="180"/>
        </w:pPr>
      </w:lvl>
    </w:lvlOverride>
    <w:lvlOverride w:ilvl="3">
      <w:startOverride w:val="1"/>
      <w:lvl w:ilvl="3" w:tplc="AEB848B6">
        <w:start w:val="1"/>
        <w:numFmt w:val="decimal"/>
        <w:lvlText w:val="%4."/>
        <w:lvlJc w:val="right"/>
        <w:pPr>
          <w:ind w:left="2000" w:hanging="180"/>
        </w:pPr>
      </w:lvl>
    </w:lvlOverride>
    <w:lvlOverride w:ilvl="4">
      <w:startOverride w:val="1"/>
      <w:lvl w:ilvl="4" w:tplc="E556C142">
        <w:start w:val="1"/>
        <w:numFmt w:val="decimal"/>
        <w:lvlText w:val="%5."/>
        <w:lvlJc w:val="right"/>
        <w:pPr>
          <w:ind w:left="2500" w:hanging="180"/>
        </w:pPr>
      </w:lvl>
    </w:lvlOverride>
    <w:lvlOverride w:ilvl="5">
      <w:startOverride w:val="1"/>
      <w:lvl w:ilvl="5" w:tplc="B5064914">
        <w:start w:val="1"/>
        <w:numFmt w:val="decimal"/>
        <w:lvlText w:val="%6."/>
        <w:lvlJc w:val="right"/>
        <w:pPr>
          <w:ind w:left="3000" w:hanging="180"/>
        </w:pPr>
      </w:lvl>
    </w:lvlOverride>
    <w:lvlOverride w:ilvl="6">
      <w:startOverride w:val="1"/>
      <w:lvl w:ilvl="6" w:tplc="00BEF1F6">
        <w:start w:val="1"/>
        <w:numFmt w:val="decimal"/>
        <w:lvlText w:val="%7."/>
        <w:lvlJc w:val="right"/>
        <w:pPr>
          <w:ind w:left="3500" w:hanging="180"/>
        </w:pPr>
      </w:lvl>
    </w:lvlOverride>
    <w:lvlOverride w:ilvl="7">
      <w:startOverride w:val="1"/>
      <w:lvl w:ilvl="7" w:tplc="1AB62F46">
        <w:start w:val="1"/>
        <w:numFmt w:val="decimal"/>
        <w:lvlText w:val="%8."/>
        <w:lvlJc w:val="right"/>
        <w:pPr>
          <w:ind w:left="4000" w:hanging="180"/>
        </w:pPr>
      </w:lvl>
    </w:lvlOverride>
    <w:lvlOverride w:ilvl="8">
      <w:startOverride w:val="1"/>
      <w:lvl w:ilvl="8" w:tplc="F1447D00">
        <w:start w:val="1"/>
        <w:numFmt w:val="decimal"/>
        <w:lvlText w:val="%9."/>
        <w:lvlJc w:val="right"/>
        <w:pPr>
          <w:ind w:left="4500" w:hanging="180"/>
        </w:pPr>
      </w:lvl>
    </w:lvlOverride>
  </w:num>
  <w:num w:numId="13" w16cid:durableId="844632337">
    <w:abstractNumId w:val="29"/>
    <w:lvlOverride w:ilvl="0">
      <w:startOverride w:val="1"/>
      <w:lvl w:ilvl="0" w:tplc="429829C4">
        <w:start w:val="1"/>
        <w:numFmt w:val="bullet"/>
        <w:lvlText w:val=""/>
        <w:lvlJc w:val="right"/>
        <w:pPr>
          <w:ind w:left="500" w:hanging="180"/>
        </w:pPr>
        <w:rPr>
          <w:rFonts w:ascii="Symbol" w:hAnsi="Symbol" w:hint="default"/>
        </w:rPr>
      </w:lvl>
    </w:lvlOverride>
    <w:lvlOverride w:ilvl="1">
      <w:startOverride w:val="1"/>
      <w:lvl w:ilvl="1" w:tplc="C59A1EB8">
        <w:start w:val="1"/>
        <w:numFmt w:val="decimal"/>
        <w:lvlText w:val="%2."/>
        <w:lvlJc w:val="right"/>
        <w:pPr>
          <w:ind w:left="1000" w:hanging="180"/>
        </w:pPr>
      </w:lvl>
    </w:lvlOverride>
    <w:lvlOverride w:ilvl="2">
      <w:startOverride w:val="1"/>
      <w:lvl w:ilvl="2" w:tplc="C7B2794C">
        <w:start w:val="1"/>
        <w:numFmt w:val="decimal"/>
        <w:lvlText w:val="%3."/>
        <w:lvlJc w:val="right"/>
        <w:pPr>
          <w:ind w:left="1500" w:hanging="180"/>
        </w:pPr>
      </w:lvl>
    </w:lvlOverride>
    <w:lvlOverride w:ilvl="3">
      <w:startOverride w:val="1"/>
      <w:lvl w:ilvl="3" w:tplc="E1FC087E">
        <w:start w:val="1"/>
        <w:numFmt w:val="decimal"/>
        <w:lvlText w:val="%4."/>
        <w:lvlJc w:val="right"/>
        <w:pPr>
          <w:ind w:left="2000" w:hanging="180"/>
        </w:pPr>
      </w:lvl>
    </w:lvlOverride>
    <w:lvlOverride w:ilvl="4">
      <w:startOverride w:val="1"/>
      <w:lvl w:ilvl="4" w:tplc="140690D6">
        <w:start w:val="1"/>
        <w:numFmt w:val="decimal"/>
        <w:lvlText w:val="%5."/>
        <w:lvlJc w:val="right"/>
        <w:pPr>
          <w:ind w:left="2500" w:hanging="180"/>
        </w:pPr>
      </w:lvl>
    </w:lvlOverride>
    <w:lvlOverride w:ilvl="5">
      <w:startOverride w:val="1"/>
      <w:lvl w:ilvl="5" w:tplc="CBE6E02E">
        <w:start w:val="1"/>
        <w:numFmt w:val="decimal"/>
        <w:lvlText w:val="%6."/>
        <w:lvlJc w:val="right"/>
        <w:pPr>
          <w:ind w:left="3000" w:hanging="180"/>
        </w:pPr>
      </w:lvl>
    </w:lvlOverride>
    <w:lvlOverride w:ilvl="6">
      <w:startOverride w:val="1"/>
      <w:lvl w:ilvl="6" w:tplc="C43E2B04">
        <w:start w:val="1"/>
        <w:numFmt w:val="decimal"/>
        <w:lvlText w:val="%7."/>
        <w:lvlJc w:val="right"/>
        <w:pPr>
          <w:ind w:left="3500" w:hanging="180"/>
        </w:pPr>
      </w:lvl>
    </w:lvlOverride>
    <w:lvlOverride w:ilvl="7">
      <w:startOverride w:val="1"/>
      <w:lvl w:ilvl="7" w:tplc="87181952">
        <w:start w:val="1"/>
        <w:numFmt w:val="decimal"/>
        <w:lvlText w:val="%8."/>
        <w:lvlJc w:val="right"/>
        <w:pPr>
          <w:ind w:left="4000" w:hanging="180"/>
        </w:pPr>
      </w:lvl>
    </w:lvlOverride>
    <w:lvlOverride w:ilvl="8">
      <w:startOverride w:val="1"/>
      <w:lvl w:ilvl="8" w:tplc="DE62F0EE">
        <w:start w:val="1"/>
        <w:numFmt w:val="decimal"/>
        <w:lvlText w:val="%9."/>
        <w:lvlJc w:val="right"/>
        <w:pPr>
          <w:ind w:left="4500" w:hanging="180"/>
        </w:pPr>
      </w:lvl>
    </w:lvlOverride>
  </w:num>
  <w:num w:numId="14" w16cid:durableId="1228105419">
    <w:abstractNumId w:val="23"/>
    <w:lvlOverride w:ilvl="0">
      <w:startOverride w:val="1"/>
      <w:lvl w:ilvl="0" w:tplc="C45CAEA0">
        <w:start w:val="1"/>
        <w:numFmt w:val="bullet"/>
        <w:lvlText w:val=""/>
        <w:lvlJc w:val="right"/>
        <w:pPr>
          <w:ind w:left="500" w:hanging="180"/>
        </w:pPr>
        <w:rPr>
          <w:rFonts w:ascii="Symbol" w:hAnsi="Symbol" w:hint="default"/>
        </w:rPr>
      </w:lvl>
    </w:lvlOverride>
    <w:lvlOverride w:ilvl="1">
      <w:startOverride w:val="1"/>
      <w:lvl w:ilvl="1" w:tplc="9BEADAE8">
        <w:start w:val="1"/>
        <w:numFmt w:val="decimal"/>
        <w:lvlText w:val="%2."/>
        <w:lvlJc w:val="right"/>
        <w:pPr>
          <w:ind w:left="1000" w:hanging="180"/>
        </w:pPr>
      </w:lvl>
    </w:lvlOverride>
    <w:lvlOverride w:ilvl="2">
      <w:startOverride w:val="1"/>
      <w:lvl w:ilvl="2" w:tplc="AAFC270E">
        <w:start w:val="1"/>
        <w:numFmt w:val="decimal"/>
        <w:lvlText w:val="%3."/>
        <w:lvlJc w:val="right"/>
        <w:pPr>
          <w:ind w:left="1500" w:hanging="180"/>
        </w:pPr>
      </w:lvl>
    </w:lvlOverride>
    <w:lvlOverride w:ilvl="3">
      <w:startOverride w:val="1"/>
      <w:lvl w:ilvl="3" w:tplc="B8E6097E">
        <w:start w:val="1"/>
        <w:numFmt w:val="decimal"/>
        <w:lvlText w:val="%4."/>
        <w:lvlJc w:val="right"/>
        <w:pPr>
          <w:ind w:left="2000" w:hanging="180"/>
        </w:pPr>
      </w:lvl>
    </w:lvlOverride>
    <w:lvlOverride w:ilvl="4">
      <w:startOverride w:val="1"/>
      <w:lvl w:ilvl="4" w:tplc="6CCEB73C">
        <w:start w:val="1"/>
        <w:numFmt w:val="decimal"/>
        <w:lvlText w:val="%5."/>
        <w:lvlJc w:val="right"/>
        <w:pPr>
          <w:ind w:left="2500" w:hanging="180"/>
        </w:pPr>
      </w:lvl>
    </w:lvlOverride>
    <w:lvlOverride w:ilvl="5">
      <w:startOverride w:val="1"/>
      <w:lvl w:ilvl="5" w:tplc="F29046C8">
        <w:start w:val="1"/>
        <w:numFmt w:val="decimal"/>
        <w:lvlText w:val="%6."/>
        <w:lvlJc w:val="right"/>
        <w:pPr>
          <w:ind w:left="3000" w:hanging="180"/>
        </w:pPr>
      </w:lvl>
    </w:lvlOverride>
    <w:lvlOverride w:ilvl="6">
      <w:startOverride w:val="1"/>
      <w:lvl w:ilvl="6" w:tplc="F120D710">
        <w:start w:val="1"/>
        <w:numFmt w:val="decimal"/>
        <w:lvlText w:val="%7."/>
        <w:lvlJc w:val="right"/>
        <w:pPr>
          <w:ind w:left="3500" w:hanging="180"/>
        </w:pPr>
      </w:lvl>
    </w:lvlOverride>
    <w:lvlOverride w:ilvl="7">
      <w:startOverride w:val="1"/>
      <w:lvl w:ilvl="7" w:tplc="13E8007A">
        <w:start w:val="1"/>
        <w:numFmt w:val="decimal"/>
        <w:lvlText w:val="%8."/>
        <w:lvlJc w:val="right"/>
        <w:pPr>
          <w:ind w:left="4000" w:hanging="180"/>
        </w:pPr>
      </w:lvl>
    </w:lvlOverride>
    <w:lvlOverride w:ilvl="8">
      <w:startOverride w:val="1"/>
      <w:lvl w:ilvl="8" w:tplc="9C724264">
        <w:start w:val="1"/>
        <w:numFmt w:val="decimal"/>
        <w:lvlText w:val="%9."/>
        <w:lvlJc w:val="right"/>
        <w:pPr>
          <w:ind w:left="4500" w:hanging="180"/>
        </w:pPr>
      </w:lvl>
    </w:lvlOverride>
  </w:num>
  <w:num w:numId="15" w16cid:durableId="1790278571">
    <w:abstractNumId w:val="42"/>
    <w:lvlOverride w:ilvl="0">
      <w:startOverride w:val="1"/>
      <w:lvl w:ilvl="0" w:tplc="9C3292F4">
        <w:start w:val="1"/>
        <w:numFmt w:val="bullet"/>
        <w:lvlText w:val=""/>
        <w:lvlJc w:val="right"/>
        <w:pPr>
          <w:ind w:left="500" w:hanging="180"/>
        </w:pPr>
        <w:rPr>
          <w:rFonts w:ascii="Symbol" w:hAnsi="Symbol" w:hint="default"/>
        </w:rPr>
      </w:lvl>
    </w:lvlOverride>
    <w:lvlOverride w:ilvl="1">
      <w:startOverride w:val="1"/>
      <w:lvl w:ilvl="1" w:tplc="20E0AEA2">
        <w:start w:val="1"/>
        <w:numFmt w:val="decimal"/>
        <w:lvlText w:val="%2."/>
        <w:lvlJc w:val="right"/>
        <w:pPr>
          <w:ind w:left="1000" w:hanging="180"/>
        </w:pPr>
      </w:lvl>
    </w:lvlOverride>
    <w:lvlOverride w:ilvl="2">
      <w:startOverride w:val="1"/>
      <w:lvl w:ilvl="2" w:tplc="FDFC63E2">
        <w:start w:val="1"/>
        <w:numFmt w:val="decimal"/>
        <w:lvlText w:val="%3."/>
        <w:lvlJc w:val="right"/>
        <w:pPr>
          <w:ind w:left="1500" w:hanging="180"/>
        </w:pPr>
      </w:lvl>
    </w:lvlOverride>
    <w:lvlOverride w:ilvl="3">
      <w:startOverride w:val="1"/>
      <w:lvl w:ilvl="3" w:tplc="314EC404">
        <w:start w:val="1"/>
        <w:numFmt w:val="decimal"/>
        <w:lvlText w:val="%4."/>
        <w:lvlJc w:val="right"/>
        <w:pPr>
          <w:ind w:left="2000" w:hanging="180"/>
        </w:pPr>
      </w:lvl>
    </w:lvlOverride>
    <w:lvlOverride w:ilvl="4">
      <w:startOverride w:val="1"/>
      <w:lvl w:ilvl="4" w:tplc="7B48FA9E">
        <w:start w:val="1"/>
        <w:numFmt w:val="decimal"/>
        <w:lvlText w:val="%5."/>
        <w:lvlJc w:val="right"/>
        <w:pPr>
          <w:ind w:left="2500" w:hanging="180"/>
        </w:pPr>
      </w:lvl>
    </w:lvlOverride>
    <w:lvlOverride w:ilvl="5">
      <w:startOverride w:val="1"/>
      <w:lvl w:ilvl="5" w:tplc="3EC4641E">
        <w:start w:val="1"/>
        <w:numFmt w:val="decimal"/>
        <w:lvlText w:val="%6."/>
        <w:lvlJc w:val="right"/>
        <w:pPr>
          <w:ind w:left="3000" w:hanging="180"/>
        </w:pPr>
      </w:lvl>
    </w:lvlOverride>
    <w:lvlOverride w:ilvl="6">
      <w:startOverride w:val="1"/>
      <w:lvl w:ilvl="6" w:tplc="419205C2">
        <w:start w:val="1"/>
        <w:numFmt w:val="decimal"/>
        <w:lvlText w:val="%7."/>
        <w:lvlJc w:val="right"/>
        <w:pPr>
          <w:ind w:left="3500" w:hanging="180"/>
        </w:pPr>
      </w:lvl>
    </w:lvlOverride>
    <w:lvlOverride w:ilvl="7">
      <w:startOverride w:val="1"/>
      <w:lvl w:ilvl="7" w:tplc="3D9C1290">
        <w:start w:val="1"/>
        <w:numFmt w:val="decimal"/>
        <w:lvlText w:val="%8."/>
        <w:lvlJc w:val="right"/>
        <w:pPr>
          <w:ind w:left="4000" w:hanging="180"/>
        </w:pPr>
      </w:lvl>
    </w:lvlOverride>
    <w:lvlOverride w:ilvl="8">
      <w:startOverride w:val="1"/>
      <w:lvl w:ilvl="8" w:tplc="94786048">
        <w:start w:val="1"/>
        <w:numFmt w:val="decimal"/>
        <w:lvlText w:val="%9."/>
        <w:lvlJc w:val="right"/>
        <w:pPr>
          <w:ind w:left="4500" w:hanging="180"/>
        </w:pPr>
      </w:lvl>
    </w:lvlOverride>
  </w:num>
  <w:num w:numId="16" w16cid:durableId="1352688085">
    <w:abstractNumId w:val="21"/>
    <w:lvlOverride w:ilvl="0">
      <w:startOverride w:val="1"/>
      <w:lvl w:ilvl="0" w:tplc="598824A2">
        <w:start w:val="1"/>
        <w:numFmt w:val="bullet"/>
        <w:lvlText w:val=""/>
        <w:lvlJc w:val="right"/>
        <w:pPr>
          <w:ind w:left="500" w:hanging="180"/>
        </w:pPr>
        <w:rPr>
          <w:rFonts w:ascii="Symbol" w:hAnsi="Symbol" w:hint="default"/>
        </w:rPr>
      </w:lvl>
    </w:lvlOverride>
    <w:lvlOverride w:ilvl="1">
      <w:startOverride w:val="1"/>
      <w:lvl w:ilvl="1" w:tplc="A600FDFE">
        <w:start w:val="1"/>
        <w:numFmt w:val="decimal"/>
        <w:lvlText w:val="%2."/>
        <w:lvlJc w:val="right"/>
        <w:pPr>
          <w:ind w:left="1000" w:hanging="180"/>
        </w:pPr>
      </w:lvl>
    </w:lvlOverride>
    <w:lvlOverride w:ilvl="2">
      <w:startOverride w:val="1"/>
      <w:lvl w:ilvl="2" w:tplc="AF0E5628">
        <w:start w:val="1"/>
        <w:numFmt w:val="decimal"/>
        <w:lvlText w:val="%3."/>
        <w:lvlJc w:val="right"/>
        <w:pPr>
          <w:ind w:left="1500" w:hanging="180"/>
        </w:pPr>
      </w:lvl>
    </w:lvlOverride>
    <w:lvlOverride w:ilvl="3">
      <w:startOverride w:val="1"/>
      <w:lvl w:ilvl="3" w:tplc="9434F964">
        <w:start w:val="1"/>
        <w:numFmt w:val="decimal"/>
        <w:lvlText w:val="%4."/>
        <w:lvlJc w:val="right"/>
        <w:pPr>
          <w:ind w:left="2000" w:hanging="180"/>
        </w:pPr>
      </w:lvl>
    </w:lvlOverride>
    <w:lvlOverride w:ilvl="4">
      <w:startOverride w:val="1"/>
      <w:lvl w:ilvl="4" w:tplc="3D929EDC">
        <w:start w:val="1"/>
        <w:numFmt w:val="decimal"/>
        <w:lvlText w:val="%5."/>
        <w:lvlJc w:val="right"/>
        <w:pPr>
          <w:ind w:left="2500" w:hanging="180"/>
        </w:pPr>
      </w:lvl>
    </w:lvlOverride>
    <w:lvlOverride w:ilvl="5">
      <w:startOverride w:val="1"/>
      <w:lvl w:ilvl="5" w:tplc="EE782348">
        <w:start w:val="1"/>
        <w:numFmt w:val="decimal"/>
        <w:lvlText w:val="%6."/>
        <w:lvlJc w:val="right"/>
        <w:pPr>
          <w:ind w:left="3000" w:hanging="180"/>
        </w:pPr>
      </w:lvl>
    </w:lvlOverride>
    <w:lvlOverride w:ilvl="6">
      <w:startOverride w:val="1"/>
      <w:lvl w:ilvl="6" w:tplc="E60ACD1C">
        <w:start w:val="1"/>
        <w:numFmt w:val="decimal"/>
        <w:lvlText w:val="%7."/>
        <w:lvlJc w:val="right"/>
        <w:pPr>
          <w:ind w:left="3500" w:hanging="180"/>
        </w:pPr>
      </w:lvl>
    </w:lvlOverride>
    <w:lvlOverride w:ilvl="7">
      <w:startOverride w:val="1"/>
      <w:lvl w:ilvl="7" w:tplc="554E1250">
        <w:start w:val="1"/>
        <w:numFmt w:val="decimal"/>
        <w:lvlText w:val="%8."/>
        <w:lvlJc w:val="right"/>
        <w:pPr>
          <w:ind w:left="4000" w:hanging="180"/>
        </w:pPr>
      </w:lvl>
    </w:lvlOverride>
    <w:lvlOverride w:ilvl="8">
      <w:startOverride w:val="1"/>
      <w:lvl w:ilvl="8" w:tplc="DF601148">
        <w:start w:val="1"/>
        <w:numFmt w:val="decimal"/>
        <w:lvlText w:val="%9."/>
        <w:lvlJc w:val="right"/>
        <w:pPr>
          <w:ind w:left="4500" w:hanging="180"/>
        </w:pPr>
      </w:lvl>
    </w:lvlOverride>
  </w:num>
  <w:num w:numId="17" w16cid:durableId="793256634">
    <w:abstractNumId w:val="34"/>
    <w:lvlOverride w:ilvl="0">
      <w:startOverride w:val="1"/>
      <w:lvl w:ilvl="0" w:tplc="E8A81DFC">
        <w:start w:val="1"/>
        <w:numFmt w:val="bullet"/>
        <w:lvlText w:val=""/>
        <w:lvlJc w:val="right"/>
        <w:pPr>
          <w:ind w:left="500" w:hanging="180"/>
        </w:pPr>
        <w:rPr>
          <w:rFonts w:ascii="Symbol" w:hAnsi="Symbol" w:hint="default"/>
        </w:rPr>
      </w:lvl>
    </w:lvlOverride>
    <w:lvlOverride w:ilvl="1">
      <w:startOverride w:val="1"/>
      <w:lvl w:ilvl="1" w:tplc="B0A88A70">
        <w:start w:val="1"/>
        <w:numFmt w:val="decimal"/>
        <w:lvlText w:val="%2."/>
        <w:lvlJc w:val="right"/>
        <w:pPr>
          <w:ind w:left="1000" w:hanging="180"/>
        </w:pPr>
      </w:lvl>
    </w:lvlOverride>
    <w:lvlOverride w:ilvl="2">
      <w:startOverride w:val="1"/>
      <w:lvl w:ilvl="2" w:tplc="9280B07E">
        <w:start w:val="1"/>
        <w:numFmt w:val="decimal"/>
        <w:lvlText w:val="%3."/>
        <w:lvlJc w:val="right"/>
        <w:pPr>
          <w:ind w:left="1500" w:hanging="180"/>
        </w:pPr>
      </w:lvl>
    </w:lvlOverride>
    <w:lvlOverride w:ilvl="3">
      <w:startOverride w:val="1"/>
      <w:lvl w:ilvl="3" w:tplc="7C6230CC">
        <w:start w:val="1"/>
        <w:numFmt w:val="decimal"/>
        <w:lvlText w:val="%4."/>
        <w:lvlJc w:val="right"/>
        <w:pPr>
          <w:ind w:left="2000" w:hanging="180"/>
        </w:pPr>
      </w:lvl>
    </w:lvlOverride>
    <w:lvlOverride w:ilvl="4">
      <w:startOverride w:val="1"/>
      <w:lvl w:ilvl="4" w:tplc="58D8A89C">
        <w:start w:val="1"/>
        <w:numFmt w:val="decimal"/>
        <w:lvlText w:val="%5."/>
        <w:lvlJc w:val="right"/>
        <w:pPr>
          <w:ind w:left="2500" w:hanging="180"/>
        </w:pPr>
      </w:lvl>
    </w:lvlOverride>
    <w:lvlOverride w:ilvl="5">
      <w:startOverride w:val="1"/>
      <w:lvl w:ilvl="5" w:tplc="FEA221A2">
        <w:start w:val="1"/>
        <w:numFmt w:val="decimal"/>
        <w:lvlText w:val="%6."/>
        <w:lvlJc w:val="right"/>
        <w:pPr>
          <w:ind w:left="3000" w:hanging="180"/>
        </w:pPr>
      </w:lvl>
    </w:lvlOverride>
    <w:lvlOverride w:ilvl="6">
      <w:startOverride w:val="1"/>
      <w:lvl w:ilvl="6" w:tplc="C83A0D02">
        <w:start w:val="1"/>
        <w:numFmt w:val="decimal"/>
        <w:lvlText w:val="%7."/>
        <w:lvlJc w:val="right"/>
        <w:pPr>
          <w:ind w:left="3500" w:hanging="180"/>
        </w:pPr>
      </w:lvl>
    </w:lvlOverride>
    <w:lvlOverride w:ilvl="7">
      <w:startOverride w:val="1"/>
      <w:lvl w:ilvl="7" w:tplc="8B3AA700">
        <w:start w:val="1"/>
        <w:numFmt w:val="decimal"/>
        <w:lvlText w:val="%8."/>
        <w:lvlJc w:val="right"/>
        <w:pPr>
          <w:ind w:left="4000" w:hanging="180"/>
        </w:pPr>
      </w:lvl>
    </w:lvlOverride>
    <w:lvlOverride w:ilvl="8">
      <w:startOverride w:val="1"/>
      <w:lvl w:ilvl="8" w:tplc="5CEC445E">
        <w:start w:val="1"/>
        <w:numFmt w:val="decimal"/>
        <w:lvlText w:val="%9."/>
        <w:lvlJc w:val="right"/>
        <w:pPr>
          <w:ind w:left="4500" w:hanging="180"/>
        </w:pPr>
      </w:lvl>
    </w:lvlOverride>
  </w:num>
  <w:num w:numId="18" w16cid:durableId="2114737289">
    <w:abstractNumId w:val="11"/>
    <w:lvlOverride w:ilvl="0">
      <w:startOverride w:val="1"/>
      <w:lvl w:ilvl="0" w:tplc="50B49968">
        <w:start w:val="1"/>
        <w:numFmt w:val="bullet"/>
        <w:lvlText w:val=""/>
        <w:lvlJc w:val="right"/>
        <w:pPr>
          <w:ind w:left="500" w:hanging="180"/>
        </w:pPr>
        <w:rPr>
          <w:rFonts w:ascii="Symbol" w:hAnsi="Symbol" w:hint="default"/>
        </w:rPr>
      </w:lvl>
    </w:lvlOverride>
    <w:lvlOverride w:ilvl="1">
      <w:startOverride w:val="1"/>
      <w:lvl w:ilvl="1" w:tplc="B804E4BE">
        <w:start w:val="1"/>
        <w:numFmt w:val="decimal"/>
        <w:lvlText w:val="%2."/>
        <w:lvlJc w:val="right"/>
        <w:pPr>
          <w:ind w:left="1000" w:hanging="180"/>
        </w:pPr>
      </w:lvl>
    </w:lvlOverride>
    <w:lvlOverride w:ilvl="2">
      <w:startOverride w:val="1"/>
      <w:lvl w:ilvl="2" w:tplc="CCD0E410">
        <w:start w:val="1"/>
        <w:numFmt w:val="decimal"/>
        <w:lvlText w:val="%3."/>
        <w:lvlJc w:val="right"/>
        <w:pPr>
          <w:ind w:left="1500" w:hanging="180"/>
        </w:pPr>
      </w:lvl>
    </w:lvlOverride>
    <w:lvlOverride w:ilvl="3">
      <w:startOverride w:val="1"/>
      <w:lvl w:ilvl="3" w:tplc="CDA4867A">
        <w:start w:val="1"/>
        <w:numFmt w:val="decimal"/>
        <w:lvlText w:val="%4."/>
        <w:lvlJc w:val="right"/>
        <w:pPr>
          <w:ind w:left="2000" w:hanging="180"/>
        </w:pPr>
      </w:lvl>
    </w:lvlOverride>
    <w:lvlOverride w:ilvl="4">
      <w:startOverride w:val="1"/>
      <w:lvl w:ilvl="4" w:tplc="751AFF8A">
        <w:start w:val="1"/>
        <w:numFmt w:val="decimal"/>
        <w:lvlText w:val="%5."/>
        <w:lvlJc w:val="right"/>
        <w:pPr>
          <w:ind w:left="2500" w:hanging="180"/>
        </w:pPr>
      </w:lvl>
    </w:lvlOverride>
    <w:lvlOverride w:ilvl="5">
      <w:startOverride w:val="1"/>
      <w:lvl w:ilvl="5" w:tplc="002E1F12">
        <w:start w:val="1"/>
        <w:numFmt w:val="decimal"/>
        <w:lvlText w:val="%6."/>
        <w:lvlJc w:val="right"/>
        <w:pPr>
          <w:ind w:left="3000" w:hanging="180"/>
        </w:pPr>
      </w:lvl>
    </w:lvlOverride>
    <w:lvlOverride w:ilvl="6">
      <w:startOverride w:val="1"/>
      <w:lvl w:ilvl="6" w:tplc="3F7A87B6">
        <w:start w:val="1"/>
        <w:numFmt w:val="decimal"/>
        <w:lvlText w:val="%7."/>
        <w:lvlJc w:val="right"/>
        <w:pPr>
          <w:ind w:left="3500" w:hanging="180"/>
        </w:pPr>
      </w:lvl>
    </w:lvlOverride>
    <w:lvlOverride w:ilvl="7">
      <w:startOverride w:val="1"/>
      <w:lvl w:ilvl="7" w:tplc="DDBAC10C">
        <w:start w:val="1"/>
        <w:numFmt w:val="decimal"/>
        <w:lvlText w:val="%8."/>
        <w:lvlJc w:val="right"/>
        <w:pPr>
          <w:ind w:left="4000" w:hanging="180"/>
        </w:pPr>
      </w:lvl>
    </w:lvlOverride>
    <w:lvlOverride w:ilvl="8">
      <w:startOverride w:val="1"/>
      <w:lvl w:ilvl="8" w:tplc="7BCCD18C">
        <w:start w:val="1"/>
        <w:numFmt w:val="decimal"/>
        <w:lvlText w:val="%9."/>
        <w:lvlJc w:val="right"/>
        <w:pPr>
          <w:ind w:left="4500" w:hanging="180"/>
        </w:pPr>
      </w:lvl>
    </w:lvlOverride>
  </w:num>
  <w:num w:numId="19" w16cid:durableId="22217667">
    <w:abstractNumId w:val="22"/>
    <w:lvlOverride w:ilvl="0">
      <w:startOverride w:val="1"/>
      <w:lvl w:ilvl="0" w:tplc="DBC6ED74">
        <w:start w:val="1"/>
        <w:numFmt w:val="bullet"/>
        <w:lvlText w:val=""/>
        <w:lvlJc w:val="right"/>
        <w:pPr>
          <w:ind w:left="500" w:hanging="180"/>
        </w:pPr>
        <w:rPr>
          <w:rFonts w:ascii="Symbol" w:hAnsi="Symbol" w:hint="default"/>
        </w:rPr>
      </w:lvl>
    </w:lvlOverride>
    <w:lvlOverride w:ilvl="1">
      <w:startOverride w:val="1"/>
      <w:lvl w:ilvl="1" w:tplc="1A3CE340">
        <w:start w:val="1"/>
        <w:numFmt w:val="decimal"/>
        <w:lvlText w:val="%2."/>
        <w:lvlJc w:val="right"/>
        <w:pPr>
          <w:ind w:left="1000" w:hanging="180"/>
        </w:pPr>
      </w:lvl>
    </w:lvlOverride>
    <w:lvlOverride w:ilvl="2">
      <w:startOverride w:val="1"/>
      <w:lvl w:ilvl="2" w:tplc="D0E2EDDE">
        <w:start w:val="1"/>
        <w:numFmt w:val="decimal"/>
        <w:lvlText w:val="%3."/>
        <w:lvlJc w:val="right"/>
        <w:pPr>
          <w:ind w:left="1500" w:hanging="180"/>
        </w:pPr>
      </w:lvl>
    </w:lvlOverride>
    <w:lvlOverride w:ilvl="3">
      <w:startOverride w:val="1"/>
      <w:lvl w:ilvl="3" w:tplc="EA323D28">
        <w:start w:val="1"/>
        <w:numFmt w:val="decimal"/>
        <w:lvlText w:val="%4."/>
        <w:lvlJc w:val="right"/>
        <w:pPr>
          <w:ind w:left="2000" w:hanging="180"/>
        </w:pPr>
      </w:lvl>
    </w:lvlOverride>
    <w:lvlOverride w:ilvl="4">
      <w:startOverride w:val="1"/>
      <w:lvl w:ilvl="4" w:tplc="890AA8E0">
        <w:start w:val="1"/>
        <w:numFmt w:val="decimal"/>
        <w:lvlText w:val="%5."/>
        <w:lvlJc w:val="right"/>
        <w:pPr>
          <w:ind w:left="2500" w:hanging="180"/>
        </w:pPr>
      </w:lvl>
    </w:lvlOverride>
    <w:lvlOverride w:ilvl="5">
      <w:startOverride w:val="1"/>
      <w:lvl w:ilvl="5" w:tplc="3E522D7A">
        <w:start w:val="1"/>
        <w:numFmt w:val="decimal"/>
        <w:lvlText w:val="%6."/>
        <w:lvlJc w:val="right"/>
        <w:pPr>
          <w:ind w:left="3000" w:hanging="180"/>
        </w:pPr>
      </w:lvl>
    </w:lvlOverride>
    <w:lvlOverride w:ilvl="6">
      <w:startOverride w:val="1"/>
      <w:lvl w:ilvl="6" w:tplc="01ACA018">
        <w:start w:val="1"/>
        <w:numFmt w:val="decimal"/>
        <w:lvlText w:val="%7."/>
        <w:lvlJc w:val="right"/>
        <w:pPr>
          <w:ind w:left="3500" w:hanging="180"/>
        </w:pPr>
      </w:lvl>
    </w:lvlOverride>
    <w:lvlOverride w:ilvl="7">
      <w:startOverride w:val="1"/>
      <w:lvl w:ilvl="7" w:tplc="2F925DCE">
        <w:start w:val="1"/>
        <w:numFmt w:val="decimal"/>
        <w:lvlText w:val="%8."/>
        <w:lvlJc w:val="right"/>
        <w:pPr>
          <w:ind w:left="4000" w:hanging="180"/>
        </w:pPr>
      </w:lvl>
    </w:lvlOverride>
    <w:lvlOverride w:ilvl="8">
      <w:startOverride w:val="1"/>
      <w:lvl w:ilvl="8" w:tplc="39B42136">
        <w:start w:val="1"/>
        <w:numFmt w:val="decimal"/>
        <w:lvlText w:val="%9."/>
        <w:lvlJc w:val="right"/>
        <w:pPr>
          <w:ind w:left="4500" w:hanging="180"/>
        </w:pPr>
      </w:lvl>
    </w:lvlOverride>
  </w:num>
  <w:num w:numId="20" w16cid:durableId="728647043">
    <w:abstractNumId w:val="27"/>
    <w:lvlOverride w:ilvl="0">
      <w:startOverride w:val="1"/>
      <w:lvl w:ilvl="0" w:tplc="02EEC04C">
        <w:start w:val="1"/>
        <w:numFmt w:val="bullet"/>
        <w:lvlText w:val=""/>
        <w:lvlJc w:val="right"/>
        <w:pPr>
          <w:ind w:left="500" w:hanging="180"/>
        </w:pPr>
        <w:rPr>
          <w:rFonts w:ascii="Symbol" w:hAnsi="Symbol" w:hint="default"/>
        </w:rPr>
      </w:lvl>
    </w:lvlOverride>
    <w:lvlOverride w:ilvl="1">
      <w:startOverride w:val="1"/>
      <w:lvl w:ilvl="1" w:tplc="A8649374">
        <w:start w:val="1"/>
        <w:numFmt w:val="decimal"/>
        <w:lvlText w:val="%2."/>
        <w:lvlJc w:val="right"/>
        <w:pPr>
          <w:ind w:left="1000" w:hanging="180"/>
        </w:pPr>
      </w:lvl>
    </w:lvlOverride>
    <w:lvlOverride w:ilvl="2">
      <w:startOverride w:val="1"/>
      <w:lvl w:ilvl="2" w:tplc="57F0E70A">
        <w:start w:val="1"/>
        <w:numFmt w:val="decimal"/>
        <w:lvlText w:val="%3."/>
        <w:lvlJc w:val="right"/>
        <w:pPr>
          <w:ind w:left="1500" w:hanging="180"/>
        </w:pPr>
      </w:lvl>
    </w:lvlOverride>
    <w:lvlOverride w:ilvl="3">
      <w:startOverride w:val="1"/>
      <w:lvl w:ilvl="3" w:tplc="2C74A3C0">
        <w:start w:val="1"/>
        <w:numFmt w:val="decimal"/>
        <w:lvlText w:val="%4."/>
        <w:lvlJc w:val="right"/>
        <w:pPr>
          <w:ind w:left="2000" w:hanging="180"/>
        </w:pPr>
      </w:lvl>
    </w:lvlOverride>
    <w:lvlOverride w:ilvl="4">
      <w:startOverride w:val="1"/>
      <w:lvl w:ilvl="4" w:tplc="A1386668">
        <w:start w:val="1"/>
        <w:numFmt w:val="decimal"/>
        <w:lvlText w:val="%5."/>
        <w:lvlJc w:val="right"/>
        <w:pPr>
          <w:ind w:left="2500" w:hanging="180"/>
        </w:pPr>
      </w:lvl>
    </w:lvlOverride>
    <w:lvlOverride w:ilvl="5">
      <w:startOverride w:val="1"/>
      <w:lvl w:ilvl="5" w:tplc="3F96B55E">
        <w:start w:val="1"/>
        <w:numFmt w:val="decimal"/>
        <w:lvlText w:val="%6."/>
        <w:lvlJc w:val="right"/>
        <w:pPr>
          <w:ind w:left="3000" w:hanging="180"/>
        </w:pPr>
      </w:lvl>
    </w:lvlOverride>
    <w:lvlOverride w:ilvl="6">
      <w:startOverride w:val="1"/>
      <w:lvl w:ilvl="6" w:tplc="6AEC3E54">
        <w:start w:val="1"/>
        <w:numFmt w:val="decimal"/>
        <w:lvlText w:val="%7."/>
        <w:lvlJc w:val="right"/>
        <w:pPr>
          <w:ind w:left="3500" w:hanging="180"/>
        </w:pPr>
      </w:lvl>
    </w:lvlOverride>
    <w:lvlOverride w:ilvl="7">
      <w:startOverride w:val="1"/>
      <w:lvl w:ilvl="7" w:tplc="AA4EF97C">
        <w:start w:val="1"/>
        <w:numFmt w:val="decimal"/>
        <w:lvlText w:val="%8."/>
        <w:lvlJc w:val="right"/>
        <w:pPr>
          <w:ind w:left="4000" w:hanging="180"/>
        </w:pPr>
      </w:lvl>
    </w:lvlOverride>
    <w:lvlOverride w:ilvl="8">
      <w:startOverride w:val="1"/>
      <w:lvl w:ilvl="8" w:tplc="9402A6CA">
        <w:start w:val="1"/>
        <w:numFmt w:val="decimal"/>
        <w:lvlText w:val="%9."/>
        <w:lvlJc w:val="right"/>
        <w:pPr>
          <w:ind w:left="4500" w:hanging="180"/>
        </w:pPr>
      </w:lvl>
    </w:lvlOverride>
  </w:num>
  <w:num w:numId="21" w16cid:durableId="1154907492">
    <w:abstractNumId w:val="36"/>
    <w:lvlOverride w:ilvl="0">
      <w:startOverride w:val="1"/>
      <w:lvl w:ilvl="0" w:tplc="F2323210">
        <w:start w:val="1"/>
        <w:numFmt w:val="bullet"/>
        <w:lvlText w:val=""/>
        <w:lvlJc w:val="right"/>
        <w:pPr>
          <w:ind w:left="500" w:hanging="180"/>
        </w:pPr>
        <w:rPr>
          <w:rFonts w:ascii="Symbol" w:hAnsi="Symbol" w:hint="default"/>
        </w:rPr>
      </w:lvl>
    </w:lvlOverride>
    <w:lvlOverride w:ilvl="1">
      <w:startOverride w:val="1"/>
      <w:lvl w:ilvl="1" w:tplc="1F684628">
        <w:start w:val="1"/>
        <w:numFmt w:val="decimal"/>
        <w:lvlText w:val="%2."/>
        <w:lvlJc w:val="right"/>
        <w:pPr>
          <w:ind w:left="1000" w:hanging="180"/>
        </w:pPr>
      </w:lvl>
    </w:lvlOverride>
    <w:lvlOverride w:ilvl="2">
      <w:startOverride w:val="1"/>
      <w:lvl w:ilvl="2" w:tplc="F67A70DA">
        <w:start w:val="1"/>
        <w:numFmt w:val="decimal"/>
        <w:lvlText w:val="%3."/>
        <w:lvlJc w:val="right"/>
        <w:pPr>
          <w:ind w:left="1500" w:hanging="180"/>
        </w:pPr>
      </w:lvl>
    </w:lvlOverride>
    <w:lvlOverride w:ilvl="3">
      <w:startOverride w:val="1"/>
      <w:lvl w:ilvl="3" w:tplc="C28C2CFC">
        <w:start w:val="1"/>
        <w:numFmt w:val="decimal"/>
        <w:lvlText w:val="%4."/>
        <w:lvlJc w:val="right"/>
        <w:pPr>
          <w:ind w:left="2000" w:hanging="180"/>
        </w:pPr>
      </w:lvl>
    </w:lvlOverride>
    <w:lvlOverride w:ilvl="4">
      <w:startOverride w:val="1"/>
      <w:lvl w:ilvl="4" w:tplc="1D08474C">
        <w:start w:val="1"/>
        <w:numFmt w:val="decimal"/>
        <w:lvlText w:val="%5."/>
        <w:lvlJc w:val="right"/>
        <w:pPr>
          <w:ind w:left="2500" w:hanging="180"/>
        </w:pPr>
      </w:lvl>
    </w:lvlOverride>
    <w:lvlOverride w:ilvl="5">
      <w:startOverride w:val="1"/>
      <w:lvl w:ilvl="5" w:tplc="C0E6F1D6">
        <w:start w:val="1"/>
        <w:numFmt w:val="decimal"/>
        <w:lvlText w:val="%6."/>
        <w:lvlJc w:val="right"/>
        <w:pPr>
          <w:ind w:left="3000" w:hanging="180"/>
        </w:pPr>
      </w:lvl>
    </w:lvlOverride>
    <w:lvlOverride w:ilvl="6">
      <w:startOverride w:val="1"/>
      <w:lvl w:ilvl="6" w:tplc="6630B702">
        <w:start w:val="1"/>
        <w:numFmt w:val="decimal"/>
        <w:lvlText w:val="%7."/>
        <w:lvlJc w:val="right"/>
        <w:pPr>
          <w:ind w:left="3500" w:hanging="180"/>
        </w:pPr>
      </w:lvl>
    </w:lvlOverride>
    <w:lvlOverride w:ilvl="7">
      <w:startOverride w:val="1"/>
      <w:lvl w:ilvl="7" w:tplc="6EDE9582">
        <w:start w:val="1"/>
        <w:numFmt w:val="decimal"/>
        <w:lvlText w:val="%8."/>
        <w:lvlJc w:val="right"/>
        <w:pPr>
          <w:ind w:left="4000" w:hanging="180"/>
        </w:pPr>
      </w:lvl>
    </w:lvlOverride>
    <w:lvlOverride w:ilvl="8">
      <w:startOverride w:val="1"/>
      <w:lvl w:ilvl="8" w:tplc="310C032E">
        <w:start w:val="1"/>
        <w:numFmt w:val="decimal"/>
        <w:lvlText w:val="%9."/>
        <w:lvlJc w:val="right"/>
        <w:pPr>
          <w:ind w:left="4500" w:hanging="180"/>
        </w:pPr>
      </w:lvl>
    </w:lvlOverride>
  </w:num>
  <w:num w:numId="22" w16cid:durableId="258176004">
    <w:abstractNumId w:val="36"/>
    <w:lvlOverride w:ilvl="0">
      <w:startOverride w:val="1"/>
      <w:lvl w:ilvl="0" w:tplc="F2323210">
        <w:start w:val="1"/>
        <w:numFmt w:val="bullet"/>
        <w:lvlText w:val=""/>
        <w:lvlJc w:val="right"/>
        <w:pPr>
          <w:ind w:left="500" w:hanging="180"/>
        </w:pPr>
        <w:rPr>
          <w:rFonts w:ascii="Symbol" w:hAnsi="Symbol" w:hint="default"/>
        </w:rPr>
      </w:lvl>
    </w:lvlOverride>
    <w:lvlOverride w:ilvl="1">
      <w:startOverride w:val="1"/>
      <w:lvl w:ilvl="1" w:tplc="1F684628">
        <w:start w:val="1"/>
        <w:numFmt w:val="decimal"/>
        <w:lvlText w:val="%2."/>
        <w:lvlJc w:val="right"/>
        <w:pPr>
          <w:ind w:left="1000" w:hanging="180"/>
        </w:pPr>
      </w:lvl>
    </w:lvlOverride>
    <w:lvlOverride w:ilvl="2">
      <w:startOverride w:val="1"/>
      <w:lvl w:ilvl="2" w:tplc="F67A70DA">
        <w:start w:val="1"/>
        <w:numFmt w:val="decimal"/>
        <w:lvlText w:val="%3."/>
        <w:lvlJc w:val="right"/>
        <w:pPr>
          <w:ind w:left="1500" w:hanging="180"/>
        </w:pPr>
      </w:lvl>
    </w:lvlOverride>
    <w:lvlOverride w:ilvl="3">
      <w:startOverride w:val="1"/>
      <w:lvl w:ilvl="3" w:tplc="C28C2CFC">
        <w:start w:val="1"/>
        <w:numFmt w:val="decimal"/>
        <w:lvlText w:val="%4."/>
        <w:lvlJc w:val="right"/>
        <w:pPr>
          <w:ind w:left="2000" w:hanging="180"/>
        </w:pPr>
      </w:lvl>
    </w:lvlOverride>
    <w:lvlOverride w:ilvl="4">
      <w:startOverride w:val="1"/>
      <w:lvl w:ilvl="4" w:tplc="1D08474C">
        <w:start w:val="1"/>
        <w:numFmt w:val="decimal"/>
        <w:lvlText w:val="%5."/>
        <w:lvlJc w:val="right"/>
        <w:pPr>
          <w:ind w:left="2500" w:hanging="180"/>
        </w:pPr>
      </w:lvl>
    </w:lvlOverride>
    <w:lvlOverride w:ilvl="5">
      <w:startOverride w:val="1"/>
      <w:lvl w:ilvl="5" w:tplc="C0E6F1D6">
        <w:start w:val="1"/>
        <w:numFmt w:val="decimal"/>
        <w:lvlText w:val="%6."/>
        <w:lvlJc w:val="right"/>
        <w:pPr>
          <w:ind w:left="3000" w:hanging="180"/>
        </w:pPr>
      </w:lvl>
    </w:lvlOverride>
    <w:lvlOverride w:ilvl="6">
      <w:startOverride w:val="1"/>
      <w:lvl w:ilvl="6" w:tplc="6630B702">
        <w:start w:val="1"/>
        <w:numFmt w:val="decimal"/>
        <w:lvlText w:val="%7."/>
        <w:lvlJc w:val="right"/>
        <w:pPr>
          <w:ind w:left="3500" w:hanging="180"/>
        </w:pPr>
      </w:lvl>
    </w:lvlOverride>
    <w:lvlOverride w:ilvl="7">
      <w:startOverride w:val="1"/>
      <w:lvl w:ilvl="7" w:tplc="6EDE9582">
        <w:start w:val="1"/>
        <w:numFmt w:val="decimal"/>
        <w:lvlText w:val="%8."/>
        <w:lvlJc w:val="right"/>
        <w:pPr>
          <w:ind w:left="4000" w:hanging="180"/>
        </w:pPr>
      </w:lvl>
    </w:lvlOverride>
    <w:lvlOverride w:ilvl="8">
      <w:startOverride w:val="1"/>
      <w:lvl w:ilvl="8" w:tplc="310C032E">
        <w:start w:val="1"/>
        <w:numFmt w:val="decimal"/>
        <w:lvlText w:val="%9."/>
        <w:lvlJc w:val="right"/>
        <w:pPr>
          <w:ind w:left="4500" w:hanging="180"/>
        </w:pPr>
      </w:lvl>
    </w:lvlOverride>
  </w:num>
  <w:num w:numId="23" w16cid:durableId="1286501419">
    <w:abstractNumId w:val="6"/>
    <w:lvlOverride w:ilvl="0">
      <w:startOverride w:val="1"/>
      <w:lvl w:ilvl="0" w:tplc="0C50D1C0">
        <w:start w:val="1"/>
        <w:numFmt w:val="bullet"/>
        <w:lvlText w:val=""/>
        <w:lvlJc w:val="right"/>
        <w:pPr>
          <w:ind w:left="500" w:hanging="180"/>
        </w:pPr>
        <w:rPr>
          <w:rFonts w:ascii="Symbol" w:hAnsi="Symbol" w:hint="default"/>
        </w:rPr>
      </w:lvl>
    </w:lvlOverride>
    <w:lvlOverride w:ilvl="1">
      <w:startOverride w:val="1"/>
      <w:lvl w:ilvl="1" w:tplc="3802F1C4">
        <w:start w:val="1"/>
        <w:numFmt w:val="decimal"/>
        <w:lvlText w:val="%2."/>
        <w:lvlJc w:val="right"/>
        <w:pPr>
          <w:ind w:left="1000" w:hanging="180"/>
        </w:pPr>
      </w:lvl>
    </w:lvlOverride>
    <w:lvlOverride w:ilvl="2">
      <w:startOverride w:val="1"/>
      <w:lvl w:ilvl="2" w:tplc="9A263B4E">
        <w:start w:val="1"/>
        <w:numFmt w:val="decimal"/>
        <w:lvlText w:val="%3."/>
        <w:lvlJc w:val="right"/>
        <w:pPr>
          <w:ind w:left="1500" w:hanging="180"/>
        </w:pPr>
      </w:lvl>
    </w:lvlOverride>
    <w:lvlOverride w:ilvl="3">
      <w:startOverride w:val="1"/>
      <w:lvl w:ilvl="3" w:tplc="879AA1D0">
        <w:start w:val="1"/>
        <w:numFmt w:val="decimal"/>
        <w:lvlText w:val="%4."/>
        <w:lvlJc w:val="right"/>
        <w:pPr>
          <w:ind w:left="2000" w:hanging="180"/>
        </w:pPr>
      </w:lvl>
    </w:lvlOverride>
    <w:lvlOverride w:ilvl="4">
      <w:startOverride w:val="1"/>
      <w:lvl w:ilvl="4" w:tplc="49AE0DA4">
        <w:start w:val="1"/>
        <w:numFmt w:val="decimal"/>
        <w:lvlText w:val="%5."/>
        <w:lvlJc w:val="right"/>
        <w:pPr>
          <w:ind w:left="2500" w:hanging="180"/>
        </w:pPr>
      </w:lvl>
    </w:lvlOverride>
    <w:lvlOverride w:ilvl="5">
      <w:startOverride w:val="1"/>
      <w:lvl w:ilvl="5" w:tplc="9FC8418C">
        <w:start w:val="1"/>
        <w:numFmt w:val="decimal"/>
        <w:lvlText w:val="%6."/>
        <w:lvlJc w:val="right"/>
        <w:pPr>
          <w:ind w:left="3000" w:hanging="180"/>
        </w:pPr>
      </w:lvl>
    </w:lvlOverride>
    <w:lvlOverride w:ilvl="6">
      <w:startOverride w:val="1"/>
      <w:lvl w:ilvl="6" w:tplc="232493E2">
        <w:start w:val="1"/>
        <w:numFmt w:val="decimal"/>
        <w:lvlText w:val="%7."/>
        <w:lvlJc w:val="right"/>
        <w:pPr>
          <w:ind w:left="3500" w:hanging="180"/>
        </w:pPr>
      </w:lvl>
    </w:lvlOverride>
    <w:lvlOverride w:ilvl="7">
      <w:startOverride w:val="1"/>
      <w:lvl w:ilvl="7" w:tplc="C69A751E">
        <w:start w:val="1"/>
        <w:numFmt w:val="decimal"/>
        <w:lvlText w:val="%8."/>
        <w:lvlJc w:val="right"/>
        <w:pPr>
          <w:ind w:left="4000" w:hanging="180"/>
        </w:pPr>
      </w:lvl>
    </w:lvlOverride>
    <w:lvlOverride w:ilvl="8">
      <w:startOverride w:val="1"/>
      <w:lvl w:ilvl="8" w:tplc="72140B3A">
        <w:start w:val="1"/>
        <w:numFmt w:val="decimal"/>
        <w:lvlText w:val="%9."/>
        <w:lvlJc w:val="right"/>
        <w:pPr>
          <w:ind w:left="4500" w:hanging="180"/>
        </w:pPr>
      </w:lvl>
    </w:lvlOverride>
  </w:num>
  <w:num w:numId="24" w16cid:durableId="34697561">
    <w:abstractNumId w:val="26"/>
    <w:lvlOverride w:ilvl="0">
      <w:startOverride w:val="1"/>
      <w:lvl w:ilvl="0" w:tplc="044A0550">
        <w:start w:val="1"/>
        <w:numFmt w:val="bullet"/>
        <w:lvlText w:val=""/>
        <w:lvlJc w:val="right"/>
        <w:pPr>
          <w:ind w:left="500" w:hanging="180"/>
        </w:pPr>
        <w:rPr>
          <w:rFonts w:ascii="Symbol" w:hAnsi="Symbol" w:hint="default"/>
        </w:rPr>
      </w:lvl>
    </w:lvlOverride>
    <w:lvlOverride w:ilvl="1">
      <w:startOverride w:val="1"/>
      <w:lvl w:ilvl="1" w:tplc="4F3053B2">
        <w:start w:val="1"/>
        <w:numFmt w:val="decimal"/>
        <w:lvlText w:val="%2."/>
        <w:lvlJc w:val="right"/>
        <w:pPr>
          <w:ind w:left="1000" w:hanging="180"/>
        </w:pPr>
      </w:lvl>
    </w:lvlOverride>
    <w:lvlOverride w:ilvl="2">
      <w:startOverride w:val="1"/>
      <w:lvl w:ilvl="2" w:tplc="64963EC4">
        <w:start w:val="1"/>
        <w:numFmt w:val="decimal"/>
        <w:lvlText w:val="%3."/>
        <w:lvlJc w:val="right"/>
        <w:pPr>
          <w:ind w:left="1500" w:hanging="180"/>
        </w:pPr>
      </w:lvl>
    </w:lvlOverride>
    <w:lvlOverride w:ilvl="3">
      <w:startOverride w:val="1"/>
      <w:lvl w:ilvl="3" w:tplc="539617B2">
        <w:start w:val="1"/>
        <w:numFmt w:val="decimal"/>
        <w:lvlText w:val="%4."/>
        <w:lvlJc w:val="right"/>
        <w:pPr>
          <w:ind w:left="2000" w:hanging="180"/>
        </w:pPr>
      </w:lvl>
    </w:lvlOverride>
    <w:lvlOverride w:ilvl="4">
      <w:startOverride w:val="1"/>
      <w:lvl w:ilvl="4" w:tplc="889A0954">
        <w:start w:val="1"/>
        <w:numFmt w:val="decimal"/>
        <w:lvlText w:val="%5."/>
        <w:lvlJc w:val="right"/>
        <w:pPr>
          <w:ind w:left="2500" w:hanging="180"/>
        </w:pPr>
      </w:lvl>
    </w:lvlOverride>
    <w:lvlOverride w:ilvl="5">
      <w:startOverride w:val="1"/>
      <w:lvl w:ilvl="5" w:tplc="5BAA022C">
        <w:start w:val="1"/>
        <w:numFmt w:val="decimal"/>
        <w:lvlText w:val="%6."/>
        <w:lvlJc w:val="right"/>
        <w:pPr>
          <w:ind w:left="3000" w:hanging="180"/>
        </w:pPr>
      </w:lvl>
    </w:lvlOverride>
    <w:lvlOverride w:ilvl="6">
      <w:startOverride w:val="1"/>
      <w:lvl w:ilvl="6" w:tplc="ADAC2954">
        <w:start w:val="1"/>
        <w:numFmt w:val="decimal"/>
        <w:lvlText w:val="%7."/>
        <w:lvlJc w:val="right"/>
        <w:pPr>
          <w:ind w:left="3500" w:hanging="180"/>
        </w:pPr>
      </w:lvl>
    </w:lvlOverride>
    <w:lvlOverride w:ilvl="7">
      <w:startOverride w:val="1"/>
      <w:lvl w:ilvl="7" w:tplc="0548D786">
        <w:start w:val="1"/>
        <w:numFmt w:val="decimal"/>
        <w:lvlText w:val="%8."/>
        <w:lvlJc w:val="right"/>
        <w:pPr>
          <w:ind w:left="4000" w:hanging="180"/>
        </w:pPr>
      </w:lvl>
    </w:lvlOverride>
    <w:lvlOverride w:ilvl="8">
      <w:startOverride w:val="1"/>
      <w:lvl w:ilvl="8" w:tplc="DBC47792">
        <w:start w:val="1"/>
        <w:numFmt w:val="decimal"/>
        <w:lvlText w:val="%9."/>
        <w:lvlJc w:val="right"/>
        <w:pPr>
          <w:ind w:left="4500" w:hanging="180"/>
        </w:pPr>
      </w:lvl>
    </w:lvlOverride>
  </w:num>
  <w:num w:numId="25" w16cid:durableId="1111704839">
    <w:abstractNumId w:val="39"/>
    <w:lvlOverride w:ilvl="0">
      <w:startOverride w:val="1"/>
      <w:lvl w:ilvl="0" w:tplc="2DDEE428">
        <w:start w:val="1"/>
        <w:numFmt w:val="bullet"/>
        <w:lvlText w:val=""/>
        <w:lvlJc w:val="right"/>
        <w:pPr>
          <w:ind w:left="500" w:hanging="180"/>
        </w:pPr>
        <w:rPr>
          <w:rFonts w:ascii="Symbol" w:hAnsi="Symbol" w:hint="default"/>
        </w:rPr>
      </w:lvl>
    </w:lvlOverride>
    <w:lvlOverride w:ilvl="1">
      <w:startOverride w:val="1"/>
      <w:lvl w:ilvl="1" w:tplc="6D4C89A4">
        <w:start w:val="1"/>
        <w:numFmt w:val="decimal"/>
        <w:lvlText w:val="%2."/>
        <w:lvlJc w:val="right"/>
        <w:pPr>
          <w:ind w:left="1000" w:hanging="180"/>
        </w:pPr>
      </w:lvl>
    </w:lvlOverride>
    <w:lvlOverride w:ilvl="2">
      <w:startOverride w:val="1"/>
      <w:lvl w:ilvl="2" w:tplc="C4FC8CE0">
        <w:start w:val="1"/>
        <w:numFmt w:val="decimal"/>
        <w:lvlText w:val="%3."/>
        <w:lvlJc w:val="right"/>
        <w:pPr>
          <w:ind w:left="1500" w:hanging="180"/>
        </w:pPr>
      </w:lvl>
    </w:lvlOverride>
    <w:lvlOverride w:ilvl="3">
      <w:startOverride w:val="1"/>
      <w:lvl w:ilvl="3" w:tplc="D9588756">
        <w:start w:val="1"/>
        <w:numFmt w:val="decimal"/>
        <w:lvlText w:val="%4."/>
        <w:lvlJc w:val="right"/>
        <w:pPr>
          <w:ind w:left="2000" w:hanging="180"/>
        </w:pPr>
      </w:lvl>
    </w:lvlOverride>
    <w:lvlOverride w:ilvl="4">
      <w:startOverride w:val="1"/>
      <w:lvl w:ilvl="4" w:tplc="4D58ADAA">
        <w:start w:val="1"/>
        <w:numFmt w:val="decimal"/>
        <w:lvlText w:val="%5."/>
        <w:lvlJc w:val="right"/>
        <w:pPr>
          <w:ind w:left="2500" w:hanging="180"/>
        </w:pPr>
      </w:lvl>
    </w:lvlOverride>
    <w:lvlOverride w:ilvl="5">
      <w:startOverride w:val="1"/>
      <w:lvl w:ilvl="5" w:tplc="C7DE2A0E">
        <w:start w:val="1"/>
        <w:numFmt w:val="decimal"/>
        <w:lvlText w:val="%6."/>
        <w:lvlJc w:val="right"/>
        <w:pPr>
          <w:ind w:left="3000" w:hanging="180"/>
        </w:pPr>
      </w:lvl>
    </w:lvlOverride>
    <w:lvlOverride w:ilvl="6">
      <w:startOverride w:val="1"/>
      <w:lvl w:ilvl="6" w:tplc="DA627A76">
        <w:start w:val="1"/>
        <w:numFmt w:val="decimal"/>
        <w:lvlText w:val="%7."/>
        <w:lvlJc w:val="right"/>
        <w:pPr>
          <w:ind w:left="3500" w:hanging="180"/>
        </w:pPr>
      </w:lvl>
    </w:lvlOverride>
    <w:lvlOverride w:ilvl="7">
      <w:startOverride w:val="1"/>
      <w:lvl w:ilvl="7" w:tplc="86D6268E">
        <w:start w:val="1"/>
        <w:numFmt w:val="decimal"/>
        <w:lvlText w:val="%8."/>
        <w:lvlJc w:val="right"/>
        <w:pPr>
          <w:ind w:left="4000" w:hanging="180"/>
        </w:pPr>
      </w:lvl>
    </w:lvlOverride>
    <w:lvlOverride w:ilvl="8">
      <w:startOverride w:val="1"/>
      <w:lvl w:ilvl="8" w:tplc="7EDACE1E">
        <w:start w:val="1"/>
        <w:numFmt w:val="decimal"/>
        <w:lvlText w:val="%9."/>
        <w:lvlJc w:val="right"/>
        <w:pPr>
          <w:ind w:left="4500" w:hanging="180"/>
        </w:pPr>
      </w:lvl>
    </w:lvlOverride>
  </w:num>
  <w:num w:numId="26" w16cid:durableId="1231697191">
    <w:abstractNumId w:val="13"/>
    <w:lvlOverride w:ilvl="0">
      <w:startOverride w:val="1"/>
      <w:lvl w:ilvl="0" w:tplc="D2B2844E">
        <w:start w:val="1"/>
        <w:numFmt w:val="bullet"/>
        <w:lvlText w:val=""/>
        <w:lvlJc w:val="right"/>
        <w:pPr>
          <w:ind w:left="500" w:hanging="180"/>
        </w:pPr>
        <w:rPr>
          <w:rFonts w:ascii="Symbol" w:hAnsi="Symbol" w:hint="default"/>
        </w:rPr>
      </w:lvl>
    </w:lvlOverride>
    <w:lvlOverride w:ilvl="1">
      <w:startOverride w:val="1"/>
      <w:lvl w:ilvl="1" w:tplc="4A1A597A">
        <w:start w:val="1"/>
        <w:numFmt w:val="decimal"/>
        <w:lvlText w:val="%2."/>
        <w:lvlJc w:val="right"/>
        <w:pPr>
          <w:ind w:left="1000" w:hanging="180"/>
        </w:pPr>
      </w:lvl>
    </w:lvlOverride>
    <w:lvlOverride w:ilvl="2">
      <w:startOverride w:val="1"/>
      <w:lvl w:ilvl="2" w:tplc="17FC9A58">
        <w:start w:val="1"/>
        <w:numFmt w:val="decimal"/>
        <w:lvlText w:val="%3."/>
        <w:lvlJc w:val="right"/>
        <w:pPr>
          <w:ind w:left="1500" w:hanging="180"/>
        </w:pPr>
      </w:lvl>
    </w:lvlOverride>
    <w:lvlOverride w:ilvl="3">
      <w:startOverride w:val="1"/>
      <w:lvl w:ilvl="3" w:tplc="C8141FA4">
        <w:start w:val="1"/>
        <w:numFmt w:val="decimal"/>
        <w:lvlText w:val="%4."/>
        <w:lvlJc w:val="right"/>
        <w:pPr>
          <w:ind w:left="2000" w:hanging="180"/>
        </w:pPr>
      </w:lvl>
    </w:lvlOverride>
    <w:lvlOverride w:ilvl="4">
      <w:startOverride w:val="1"/>
      <w:lvl w:ilvl="4" w:tplc="5B78A80A">
        <w:start w:val="1"/>
        <w:numFmt w:val="decimal"/>
        <w:lvlText w:val="%5."/>
        <w:lvlJc w:val="right"/>
        <w:pPr>
          <w:ind w:left="2500" w:hanging="180"/>
        </w:pPr>
      </w:lvl>
    </w:lvlOverride>
    <w:lvlOverride w:ilvl="5">
      <w:startOverride w:val="1"/>
      <w:lvl w:ilvl="5" w:tplc="00E23B6C">
        <w:start w:val="1"/>
        <w:numFmt w:val="decimal"/>
        <w:lvlText w:val="%6."/>
        <w:lvlJc w:val="right"/>
        <w:pPr>
          <w:ind w:left="3000" w:hanging="180"/>
        </w:pPr>
      </w:lvl>
    </w:lvlOverride>
    <w:lvlOverride w:ilvl="6">
      <w:startOverride w:val="1"/>
      <w:lvl w:ilvl="6" w:tplc="11C62A98">
        <w:start w:val="1"/>
        <w:numFmt w:val="decimal"/>
        <w:lvlText w:val="%7."/>
        <w:lvlJc w:val="right"/>
        <w:pPr>
          <w:ind w:left="3500" w:hanging="180"/>
        </w:pPr>
      </w:lvl>
    </w:lvlOverride>
    <w:lvlOverride w:ilvl="7">
      <w:startOverride w:val="1"/>
      <w:lvl w:ilvl="7" w:tplc="6A525042">
        <w:start w:val="1"/>
        <w:numFmt w:val="decimal"/>
        <w:lvlText w:val="%8."/>
        <w:lvlJc w:val="right"/>
        <w:pPr>
          <w:ind w:left="4000" w:hanging="180"/>
        </w:pPr>
      </w:lvl>
    </w:lvlOverride>
    <w:lvlOverride w:ilvl="8">
      <w:startOverride w:val="1"/>
      <w:lvl w:ilvl="8" w:tplc="530ECFE6">
        <w:start w:val="1"/>
        <w:numFmt w:val="decimal"/>
        <w:lvlText w:val="%9."/>
        <w:lvlJc w:val="right"/>
        <w:pPr>
          <w:ind w:left="4500" w:hanging="180"/>
        </w:pPr>
      </w:lvl>
    </w:lvlOverride>
  </w:num>
  <w:num w:numId="27" w16cid:durableId="784886253">
    <w:abstractNumId w:val="1"/>
    <w:lvlOverride w:ilvl="0">
      <w:startOverride w:val="1"/>
      <w:lvl w:ilvl="0" w:tplc="A9F25826">
        <w:start w:val="1"/>
        <w:numFmt w:val="bullet"/>
        <w:lvlText w:val=""/>
        <w:lvlJc w:val="right"/>
        <w:pPr>
          <w:ind w:left="500" w:hanging="180"/>
        </w:pPr>
        <w:rPr>
          <w:rFonts w:ascii="Symbol" w:hAnsi="Symbol" w:hint="default"/>
        </w:rPr>
      </w:lvl>
    </w:lvlOverride>
    <w:lvlOverride w:ilvl="1">
      <w:startOverride w:val="1"/>
      <w:lvl w:ilvl="1" w:tplc="FCC8269C">
        <w:start w:val="1"/>
        <w:numFmt w:val="decimal"/>
        <w:lvlText w:val="%2."/>
        <w:lvlJc w:val="right"/>
        <w:pPr>
          <w:ind w:left="1000" w:hanging="180"/>
        </w:pPr>
      </w:lvl>
    </w:lvlOverride>
    <w:lvlOverride w:ilvl="2">
      <w:startOverride w:val="1"/>
      <w:lvl w:ilvl="2" w:tplc="8DA8EED4">
        <w:start w:val="1"/>
        <w:numFmt w:val="decimal"/>
        <w:lvlText w:val="%3."/>
        <w:lvlJc w:val="right"/>
        <w:pPr>
          <w:ind w:left="1500" w:hanging="180"/>
        </w:pPr>
      </w:lvl>
    </w:lvlOverride>
    <w:lvlOverride w:ilvl="3">
      <w:startOverride w:val="1"/>
      <w:lvl w:ilvl="3" w:tplc="008092C6">
        <w:start w:val="1"/>
        <w:numFmt w:val="decimal"/>
        <w:lvlText w:val="%4."/>
        <w:lvlJc w:val="right"/>
        <w:pPr>
          <w:ind w:left="2000" w:hanging="180"/>
        </w:pPr>
      </w:lvl>
    </w:lvlOverride>
    <w:lvlOverride w:ilvl="4">
      <w:startOverride w:val="1"/>
      <w:lvl w:ilvl="4" w:tplc="5614C75C">
        <w:start w:val="1"/>
        <w:numFmt w:val="decimal"/>
        <w:lvlText w:val="%5."/>
        <w:lvlJc w:val="right"/>
        <w:pPr>
          <w:ind w:left="2500" w:hanging="180"/>
        </w:pPr>
      </w:lvl>
    </w:lvlOverride>
    <w:lvlOverride w:ilvl="5">
      <w:startOverride w:val="1"/>
      <w:lvl w:ilvl="5" w:tplc="A9F6EEA0">
        <w:start w:val="1"/>
        <w:numFmt w:val="decimal"/>
        <w:lvlText w:val="%6."/>
        <w:lvlJc w:val="right"/>
        <w:pPr>
          <w:ind w:left="3000" w:hanging="180"/>
        </w:pPr>
      </w:lvl>
    </w:lvlOverride>
    <w:lvlOverride w:ilvl="6">
      <w:startOverride w:val="1"/>
      <w:lvl w:ilvl="6" w:tplc="F86288AC">
        <w:start w:val="1"/>
        <w:numFmt w:val="decimal"/>
        <w:lvlText w:val="%7."/>
        <w:lvlJc w:val="right"/>
        <w:pPr>
          <w:ind w:left="3500" w:hanging="180"/>
        </w:pPr>
      </w:lvl>
    </w:lvlOverride>
    <w:lvlOverride w:ilvl="7">
      <w:startOverride w:val="1"/>
      <w:lvl w:ilvl="7" w:tplc="8E6EA198">
        <w:start w:val="1"/>
        <w:numFmt w:val="decimal"/>
        <w:lvlText w:val="%8."/>
        <w:lvlJc w:val="right"/>
        <w:pPr>
          <w:ind w:left="4000" w:hanging="180"/>
        </w:pPr>
      </w:lvl>
    </w:lvlOverride>
    <w:lvlOverride w:ilvl="8">
      <w:startOverride w:val="1"/>
      <w:lvl w:ilvl="8" w:tplc="D3E8065C">
        <w:start w:val="1"/>
        <w:numFmt w:val="decimal"/>
        <w:lvlText w:val="%9."/>
        <w:lvlJc w:val="right"/>
        <w:pPr>
          <w:ind w:left="4500" w:hanging="180"/>
        </w:pPr>
      </w:lvl>
    </w:lvlOverride>
  </w:num>
  <w:num w:numId="28" w16cid:durableId="1342006422">
    <w:abstractNumId w:val="15"/>
    <w:lvlOverride w:ilvl="0">
      <w:startOverride w:val="1"/>
      <w:lvl w:ilvl="0" w:tplc="BC8E32F0">
        <w:start w:val="1"/>
        <w:numFmt w:val="bullet"/>
        <w:pStyle w:val="BulletParagraph"/>
        <w:lvlText w:val=""/>
        <w:lvlJc w:val="right"/>
        <w:pPr>
          <w:ind w:left="500" w:hanging="180"/>
        </w:pPr>
        <w:rPr>
          <w:rFonts w:ascii="Symbol" w:hAnsi="Symbol" w:hint="default"/>
        </w:rPr>
      </w:lvl>
    </w:lvlOverride>
    <w:lvlOverride w:ilvl="1">
      <w:startOverride w:val="1"/>
      <w:lvl w:ilvl="1" w:tplc="88709886">
        <w:start w:val="1"/>
        <w:numFmt w:val="decimal"/>
        <w:lvlText w:val="%2."/>
        <w:lvlJc w:val="right"/>
        <w:pPr>
          <w:ind w:left="1000" w:hanging="180"/>
        </w:pPr>
      </w:lvl>
    </w:lvlOverride>
    <w:lvlOverride w:ilvl="2">
      <w:startOverride w:val="1"/>
      <w:lvl w:ilvl="2" w:tplc="B34C0724">
        <w:start w:val="1"/>
        <w:numFmt w:val="decimal"/>
        <w:lvlText w:val="%3."/>
        <w:lvlJc w:val="right"/>
        <w:pPr>
          <w:ind w:left="1500" w:hanging="180"/>
        </w:pPr>
      </w:lvl>
    </w:lvlOverride>
    <w:lvlOverride w:ilvl="3">
      <w:startOverride w:val="1"/>
      <w:lvl w:ilvl="3" w:tplc="731A112E">
        <w:start w:val="1"/>
        <w:numFmt w:val="decimal"/>
        <w:lvlText w:val="%4."/>
        <w:lvlJc w:val="right"/>
        <w:pPr>
          <w:ind w:left="2000" w:hanging="180"/>
        </w:pPr>
      </w:lvl>
    </w:lvlOverride>
    <w:lvlOverride w:ilvl="4">
      <w:startOverride w:val="1"/>
      <w:lvl w:ilvl="4" w:tplc="5DFAA7A4">
        <w:start w:val="1"/>
        <w:numFmt w:val="decimal"/>
        <w:lvlText w:val="%5."/>
        <w:lvlJc w:val="right"/>
        <w:pPr>
          <w:ind w:left="2500" w:hanging="180"/>
        </w:pPr>
      </w:lvl>
    </w:lvlOverride>
    <w:lvlOverride w:ilvl="5">
      <w:startOverride w:val="1"/>
      <w:lvl w:ilvl="5" w:tplc="E57EC2EA">
        <w:start w:val="1"/>
        <w:numFmt w:val="decimal"/>
        <w:lvlText w:val="%6."/>
        <w:lvlJc w:val="right"/>
        <w:pPr>
          <w:ind w:left="3000" w:hanging="180"/>
        </w:pPr>
      </w:lvl>
    </w:lvlOverride>
    <w:lvlOverride w:ilvl="6">
      <w:startOverride w:val="1"/>
      <w:lvl w:ilvl="6" w:tplc="03DC855C">
        <w:start w:val="1"/>
        <w:numFmt w:val="decimal"/>
        <w:lvlText w:val="%7."/>
        <w:lvlJc w:val="right"/>
        <w:pPr>
          <w:ind w:left="3500" w:hanging="180"/>
        </w:pPr>
      </w:lvl>
    </w:lvlOverride>
    <w:lvlOverride w:ilvl="7">
      <w:startOverride w:val="1"/>
      <w:lvl w:ilvl="7" w:tplc="B14C58F8">
        <w:start w:val="1"/>
        <w:numFmt w:val="decimal"/>
        <w:lvlText w:val="%8."/>
        <w:lvlJc w:val="right"/>
        <w:pPr>
          <w:ind w:left="4000" w:hanging="180"/>
        </w:pPr>
      </w:lvl>
    </w:lvlOverride>
    <w:lvlOverride w:ilvl="8">
      <w:startOverride w:val="1"/>
      <w:lvl w:ilvl="8" w:tplc="A34063B4">
        <w:start w:val="1"/>
        <w:numFmt w:val="decimal"/>
        <w:lvlText w:val="%9."/>
        <w:lvlJc w:val="right"/>
        <w:pPr>
          <w:ind w:left="4500" w:hanging="180"/>
        </w:pPr>
      </w:lvl>
    </w:lvlOverride>
  </w:num>
  <w:num w:numId="29" w16cid:durableId="1543057578">
    <w:abstractNumId w:val="15"/>
    <w:lvlOverride w:ilvl="0">
      <w:startOverride w:val="1"/>
      <w:lvl w:ilvl="0" w:tplc="BC8E32F0">
        <w:start w:val="1"/>
        <w:numFmt w:val="bullet"/>
        <w:pStyle w:val="BulletParagraph"/>
        <w:lvlText w:val=""/>
        <w:lvlJc w:val="right"/>
        <w:pPr>
          <w:ind w:left="500" w:hanging="180"/>
        </w:pPr>
        <w:rPr>
          <w:rFonts w:ascii="Symbol" w:hAnsi="Symbol" w:hint="default"/>
        </w:rPr>
      </w:lvl>
    </w:lvlOverride>
    <w:lvlOverride w:ilvl="1">
      <w:startOverride w:val="1"/>
      <w:lvl w:ilvl="1" w:tplc="88709886">
        <w:start w:val="1"/>
        <w:numFmt w:val="decimal"/>
        <w:lvlText w:val="%2."/>
        <w:lvlJc w:val="right"/>
        <w:pPr>
          <w:ind w:left="1000" w:hanging="180"/>
        </w:pPr>
      </w:lvl>
    </w:lvlOverride>
    <w:lvlOverride w:ilvl="2">
      <w:startOverride w:val="1"/>
      <w:lvl w:ilvl="2" w:tplc="B34C0724">
        <w:start w:val="1"/>
        <w:numFmt w:val="decimal"/>
        <w:lvlText w:val="%3."/>
        <w:lvlJc w:val="right"/>
        <w:pPr>
          <w:ind w:left="1500" w:hanging="180"/>
        </w:pPr>
      </w:lvl>
    </w:lvlOverride>
    <w:lvlOverride w:ilvl="3">
      <w:startOverride w:val="1"/>
      <w:lvl w:ilvl="3" w:tplc="731A112E">
        <w:start w:val="1"/>
        <w:numFmt w:val="decimal"/>
        <w:lvlText w:val="%4."/>
        <w:lvlJc w:val="right"/>
        <w:pPr>
          <w:ind w:left="2000" w:hanging="180"/>
        </w:pPr>
      </w:lvl>
    </w:lvlOverride>
    <w:lvlOverride w:ilvl="4">
      <w:startOverride w:val="1"/>
      <w:lvl w:ilvl="4" w:tplc="5DFAA7A4">
        <w:start w:val="1"/>
        <w:numFmt w:val="decimal"/>
        <w:lvlText w:val="%5."/>
        <w:lvlJc w:val="right"/>
        <w:pPr>
          <w:ind w:left="2500" w:hanging="180"/>
        </w:pPr>
      </w:lvl>
    </w:lvlOverride>
    <w:lvlOverride w:ilvl="5">
      <w:startOverride w:val="1"/>
      <w:lvl w:ilvl="5" w:tplc="E57EC2EA">
        <w:start w:val="1"/>
        <w:numFmt w:val="decimal"/>
        <w:lvlText w:val="%6."/>
        <w:lvlJc w:val="right"/>
        <w:pPr>
          <w:ind w:left="3000" w:hanging="180"/>
        </w:pPr>
      </w:lvl>
    </w:lvlOverride>
    <w:lvlOverride w:ilvl="6">
      <w:startOverride w:val="1"/>
      <w:lvl w:ilvl="6" w:tplc="03DC855C">
        <w:start w:val="1"/>
        <w:numFmt w:val="decimal"/>
        <w:lvlText w:val="%7."/>
        <w:lvlJc w:val="right"/>
        <w:pPr>
          <w:ind w:left="3500" w:hanging="180"/>
        </w:pPr>
      </w:lvl>
    </w:lvlOverride>
    <w:lvlOverride w:ilvl="7">
      <w:startOverride w:val="1"/>
      <w:lvl w:ilvl="7" w:tplc="B14C58F8">
        <w:start w:val="1"/>
        <w:numFmt w:val="decimal"/>
        <w:lvlText w:val="%8."/>
        <w:lvlJc w:val="right"/>
        <w:pPr>
          <w:ind w:left="4000" w:hanging="180"/>
        </w:pPr>
      </w:lvl>
    </w:lvlOverride>
    <w:lvlOverride w:ilvl="8">
      <w:startOverride w:val="1"/>
      <w:lvl w:ilvl="8" w:tplc="A34063B4">
        <w:start w:val="1"/>
        <w:numFmt w:val="decimal"/>
        <w:lvlText w:val="%9."/>
        <w:lvlJc w:val="right"/>
        <w:pPr>
          <w:ind w:left="4500" w:hanging="180"/>
        </w:pPr>
      </w:lvl>
    </w:lvlOverride>
  </w:num>
  <w:num w:numId="30" w16cid:durableId="846864489">
    <w:abstractNumId w:val="15"/>
    <w:lvlOverride w:ilvl="0">
      <w:startOverride w:val="1"/>
      <w:lvl w:ilvl="0" w:tplc="BC8E32F0">
        <w:start w:val="1"/>
        <w:numFmt w:val="bullet"/>
        <w:pStyle w:val="BulletParagraph"/>
        <w:lvlText w:val=""/>
        <w:lvlJc w:val="right"/>
        <w:pPr>
          <w:ind w:left="500" w:hanging="180"/>
        </w:pPr>
        <w:rPr>
          <w:rFonts w:ascii="Symbol" w:hAnsi="Symbol" w:hint="default"/>
        </w:rPr>
      </w:lvl>
    </w:lvlOverride>
    <w:lvlOverride w:ilvl="1">
      <w:startOverride w:val="1"/>
      <w:lvl w:ilvl="1" w:tplc="88709886">
        <w:start w:val="1"/>
        <w:numFmt w:val="decimal"/>
        <w:lvlText w:val="%2."/>
        <w:lvlJc w:val="right"/>
        <w:pPr>
          <w:ind w:left="1000" w:hanging="180"/>
        </w:pPr>
      </w:lvl>
    </w:lvlOverride>
    <w:lvlOverride w:ilvl="2">
      <w:startOverride w:val="1"/>
      <w:lvl w:ilvl="2" w:tplc="B34C0724">
        <w:start w:val="1"/>
        <w:numFmt w:val="decimal"/>
        <w:lvlText w:val="%3."/>
        <w:lvlJc w:val="right"/>
        <w:pPr>
          <w:ind w:left="1500" w:hanging="180"/>
        </w:pPr>
      </w:lvl>
    </w:lvlOverride>
    <w:lvlOverride w:ilvl="3">
      <w:startOverride w:val="1"/>
      <w:lvl w:ilvl="3" w:tplc="731A112E">
        <w:start w:val="1"/>
        <w:numFmt w:val="decimal"/>
        <w:lvlText w:val="%4."/>
        <w:lvlJc w:val="right"/>
        <w:pPr>
          <w:ind w:left="2000" w:hanging="180"/>
        </w:pPr>
      </w:lvl>
    </w:lvlOverride>
    <w:lvlOverride w:ilvl="4">
      <w:startOverride w:val="1"/>
      <w:lvl w:ilvl="4" w:tplc="5DFAA7A4">
        <w:start w:val="1"/>
        <w:numFmt w:val="decimal"/>
        <w:lvlText w:val="%5."/>
        <w:lvlJc w:val="right"/>
        <w:pPr>
          <w:ind w:left="2500" w:hanging="180"/>
        </w:pPr>
      </w:lvl>
    </w:lvlOverride>
    <w:lvlOverride w:ilvl="5">
      <w:startOverride w:val="1"/>
      <w:lvl w:ilvl="5" w:tplc="E57EC2EA">
        <w:start w:val="1"/>
        <w:numFmt w:val="decimal"/>
        <w:lvlText w:val="%6."/>
        <w:lvlJc w:val="right"/>
        <w:pPr>
          <w:ind w:left="3000" w:hanging="180"/>
        </w:pPr>
      </w:lvl>
    </w:lvlOverride>
    <w:lvlOverride w:ilvl="6">
      <w:startOverride w:val="1"/>
      <w:lvl w:ilvl="6" w:tplc="03DC855C">
        <w:start w:val="1"/>
        <w:numFmt w:val="decimal"/>
        <w:lvlText w:val="%7."/>
        <w:lvlJc w:val="right"/>
        <w:pPr>
          <w:ind w:left="3500" w:hanging="180"/>
        </w:pPr>
      </w:lvl>
    </w:lvlOverride>
    <w:lvlOverride w:ilvl="7">
      <w:startOverride w:val="1"/>
      <w:lvl w:ilvl="7" w:tplc="B14C58F8">
        <w:start w:val="1"/>
        <w:numFmt w:val="decimal"/>
        <w:lvlText w:val="%8."/>
        <w:lvlJc w:val="right"/>
        <w:pPr>
          <w:ind w:left="4000" w:hanging="180"/>
        </w:pPr>
      </w:lvl>
    </w:lvlOverride>
    <w:lvlOverride w:ilvl="8">
      <w:startOverride w:val="1"/>
      <w:lvl w:ilvl="8" w:tplc="A34063B4">
        <w:start w:val="1"/>
        <w:numFmt w:val="decimal"/>
        <w:lvlText w:val="%9."/>
        <w:lvlJc w:val="right"/>
        <w:pPr>
          <w:ind w:left="4500" w:hanging="180"/>
        </w:pPr>
      </w:lvl>
    </w:lvlOverride>
  </w:num>
  <w:num w:numId="31" w16cid:durableId="1771585129">
    <w:abstractNumId w:val="45"/>
    <w:lvlOverride w:ilvl="0">
      <w:startOverride w:val="1"/>
      <w:lvl w:ilvl="0" w:tplc="11FC6EEC">
        <w:start w:val="1"/>
        <w:numFmt w:val="bullet"/>
        <w:lvlText w:val=""/>
        <w:lvlJc w:val="right"/>
        <w:pPr>
          <w:ind w:left="500" w:hanging="180"/>
        </w:pPr>
        <w:rPr>
          <w:rFonts w:ascii="Symbol" w:hAnsi="Symbol" w:hint="default"/>
        </w:rPr>
      </w:lvl>
    </w:lvlOverride>
    <w:lvlOverride w:ilvl="1">
      <w:startOverride w:val="1"/>
      <w:lvl w:ilvl="1" w:tplc="DD34C142">
        <w:start w:val="1"/>
        <w:numFmt w:val="decimal"/>
        <w:lvlText w:val="%2."/>
        <w:lvlJc w:val="right"/>
        <w:pPr>
          <w:ind w:left="1000" w:hanging="180"/>
        </w:pPr>
      </w:lvl>
    </w:lvlOverride>
    <w:lvlOverride w:ilvl="2">
      <w:startOverride w:val="1"/>
      <w:lvl w:ilvl="2" w:tplc="A6FED1D2">
        <w:start w:val="1"/>
        <w:numFmt w:val="decimal"/>
        <w:lvlText w:val="%3."/>
        <w:lvlJc w:val="right"/>
        <w:pPr>
          <w:ind w:left="1500" w:hanging="180"/>
        </w:pPr>
      </w:lvl>
    </w:lvlOverride>
    <w:lvlOverride w:ilvl="3">
      <w:startOverride w:val="1"/>
      <w:lvl w:ilvl="3" w:tplc="15F4A364">
        <w:start w:val="1"/>
        <w:numFmt w:val="decimal"/>
        <w:lvlText w:val="%4."/>
        <w:lvlJc w:val="right"/>
        <w:pPr>
          <w:ind w:left="2000" w:hanging="180"/>
        </w:pPr>
      </w:lvl>
    </w:lvlOverride>
    <w:lvlOverride w:ilvl="4">
      <w:startOverride w:val="1"/>
      <w:lvl w:ilvl="4" w:tplc="AB22A9B6">
        <w:start w:val="1"/>
        <w:numFmt w:val="decimal"/>
        <w:lvlText w:val="%5."/>
        <w:lvlJc w:val="right"/>
        <w:pPr>
          <w:ind w:left="2500" w:hanging="180"/>
        </w:pPr>
      </w:lvl>
    </w:lvlOverride>
    <w:lvlOverride w:ilvl="5">
      <w:startOverride w:val="1"/>
      <w:lvl w:ilvl="5" w:tplc="4B98887E">
        <w:start w:val="1"/>
        <w:numFmt w:val="decimal"/>
        <w:lvlText w:val="%6."/>
        <w:lvlJc w:val="right"/>
        <w:pPr>
          <w:ind w:left="3000" w:hanging="180"/>
        </w:pPr>
      </w:lvl>
    </w:lvlOverride>
    <w:lvlOverride w:ilvl="6">
      <w:startOverride w:val="1"/>
      <w:lvl w:ilvl="6" w:tplc="DF8A3E08">
        <w:start w:val="1"/>
        <w:numFmt w:val="decimal"/>
        <w:lvlText w:val="%7."/>
        <w:lvlJc w:val="right"/>
        <w:pPr>
          <w:ind w:left="3500" w:hanging="180"/>
        </w:pPr>
      </w:lvl>
    </w:lvlOverride>
    <w:lvlOverride w:ilvl="7">
      <w:startOverride w:val="1"/>
      <w:lvl w:ilvl="7" w:tplc="4336E0FC">
        <w:start w:val="1"/>
        <w:numFmt w:val="decimal"/>
        <w:lvlText w:val="%8."/>
        <w:lvlJc w:val="right"/>
        <w:pPr>
          <w:ind w:left="4000" w:hanging="180"/>
        </w:pPr>
      </w:lvl>
    </w:lvlOverride>
    <w:lvlOverride w:ilvl="8">
      <w:startOverride w:val="1"/>
      <w:lvl w:ilvl="8" w:tplc="CB260EFC">
        <w:start w:val="1"/>
        <w:numFmt w:val="decimal"/>
        <w:lvlText w:val="%9."/>
        <w:lvlJc w:val="right"/>
        <w:pPr>
          <w:ind w:left="4500" w:hanging="180"/>
        </w:pPr>
      </w:lvl>
    </w:lvlOverride>
  </w:num>
  <w:num w:numId="32" w16cid:durableId="282150094">
    <w:abstractNumId w:val="21"/>
    <w:lvlOverride w:ilvl="0">
      <w:startOverride w:val="1"/>
      <w:lvl w:ilvl="0" w:tplc="598824A2">
        <w:start w:val="1"/>
        <w:numFmt w:val="bullet"/>
        <w:lvlText w:val=""/>
        <w:lvlJc w:val="right"/>
        <w:pPr>
          <w:ind w:left="500" w:hanging="180"/>
        </w:pPr>
        <w:rPr>
          <w:rFonts w:ascii="Symbol" w:hAnsi="Symbol" w:hint="default"/>
        </w:rPr>
      </w:lvl>
    </w:lvlOverride>
    <w:lvlOverride w:ilvl="1">
      <w:startOverride w:val="1"/>
      <w:lvl w:ilvl="1" w:tplc="A600FDFE">
        <w:start w:val="1"/>
        <w:numFmt w:val="decimal"/>
        <w:lvlText w:val="%2."/>
        <w:lvlJc w:val="right"/>
        <w:pPr>
          <w:ind w:left="1000" w:hanging="180"/>
        </w:pPr>
      </w:lvl>
    </w:lvlOverride>
    <w:lvlOverride w:ilvl="2">
      <w:startOverride w:val="1"/>
      <w:lvl w:ilvl="2" w:tplc="AF0E5628">
        <w:start w:val="1"/>
        <w:numFmt w:val="decimal"/>
        <w:lvlText w:val="%3."/>
        <w:lvlJc w:val="right"/>
        <w:pPr>
          <w:ind w:left="1500" w:hanging="180"/>
        </w:pPr>
      </w:lvl>
    </w:lvlOverride>
    <w:lvlOverride w:ilvl="3">
      <w:startOverride w:val="1"/>
      <w:lvl w:ilvl="3" w:tplc="9434F964">
        <w:start w:val="1"/>
        <w:numFmt w:val="decimal"/>
        <w:lvlText w:val="%4."/>
        <w:lvlJc w:val="right"/>
        <w:pPr>
          <w:ind w:left="2000" w:hanging="180"/>
        </w:pPr>
      </w:lvl>
    </w:lvlOverride>
    <w:lvlOverride w:ilvl="4">
      <w:startOverride w:val="1"/>
      <w:lvl w:ilvl="4" w:tplc="3D929EDC">
        <w:start w:val="1"/>
        <w:numFmt w:val="decimal"/>
        <w:lvlText w:val="%5."/>
        <w:lvlJc w:val="right"/>
        <w:pPr>
          <w:ind w:left="2500" w:hanging="180"/>
        </w:pPr>
      </w:lvl>
    </w:lvlOverride>
    <w:lvlOverride w:ilvl="5">
      <w:startOverride w:val="1"/>
      <w:lvl w:ilvl="5" w:tplc="EE782348">
        <w:start w:val="1"/>
        <w:numFmt w:val="decimal"/>
        <w:lvlText w:val="%6."/>
        <w:lvlJc w:val="right"/>
        <w:pPr>
          <w:ind w:left="3000" w:hanging="180"/>
        </w:pPr>
      </w:lvl>
    </w:lvlOverride>
    <w:lvlOverride w:ilvl="6">
      <w:startOverride w:val="1"/>
      <w:lvl w:ilvl="6" w:tplc="E60ACD1C">
        <w:start w:val="1"/>
        <w:numFmt w:val="decimal"/>
        <w:lvlText w:val="%7."/>
        <w:lvlJc w:val="right"/>
        <w:pPr>
          <w:ind w:left="3500" w:hanging="180"/>
        </w:pPr>
      </w:lvl>
    </w:lvlOverride>
    <w:lvlOverride w:ilvl="7">
      <w:startOverride w:val="1"/>
      <w:lvl w:ilvl="7" w:tplc="554E1250">
        <w:start w:val="1"/>
        <w:numFmt w:val="decimal"/>
        <w:lvlText w:val="%8."/>
        <w:lvlJc w:val="right"/>
        <w:pPr>
          <w:ind w:left="4000" w:hanging="180"/>
        </w:pPr>
      </w:lvl>
    </w:lvlOverride>
    <w:lvlOverride w:ilvl="8">
      <w:startOverride w:val="1"/>
      <w:lvl w:ilvl="8" w:tplc="DF601148">
        <w:start w:val="1"/>
        <w:numFmt w:val="decimal"/>
        <w:lvlText w:val="%9."/>
        <w:lvlJc w:val="right"/>
        <w:pPr>
          <w:ind w:left="4500" w:hanging="180"/>
        </w:pPr>
      </w:lvl>
    </w:lvlOverride>
  </w:num>
  <w:num w:numId="33" w16cid:durableId="417752412">
    <w:abstractNumId w:val="42"/>
    <w:lvlOverride w:ilvl="0">
      <w:startOverride w:val="1"/>
      <w:lvl w:ilvl="0" w:tplc="9C3292F4">
        <w:start w:val="1"/>
        <w:numFmt w:val="bullet"/>
        <w:lvlText w:val=""/>
        <w:lvlJc w:val="right"/>
        <w:pPr>
          <w:ind w:left="500" w:hanging="180"/>
        </w:pPr>
        <w:rPr>
          <w:rFonts w:ascii="Symbol" w:hAnsi="Symbol" w:hint="default"/>
        </w:rPr>
      </w:lvl>
    </w:lvlOverride>
    <w:lvlOverride w:ilvl="1">
      <w:startOverride w:val="1"/>
      <w:lvl w:ilvl="1" w:tplc="20E0AEA2">
        <w:start w:val="1"/>
        <w:numFmt w:val="decimal"/>
        <w:lvlText w:val="%2."/>
        <w:lvlJc w:val="right"/>
        <w:pPr>
          <w:ind w:left="1000" w:hanging="180"/>
        </w:pPr>
      </w:lvl>
    </w:lvlOverride>
    <w:lvlOverride w:ilvl="2">
      <w:startOverride w:val="1"/>
      <w:lvl w:ilvl="2" w:tplc="FDFC63E2">
        <w:start w:val="1"/>
        <w:numFmt w:val="decimal"/>
        <w:lvlText w:val="%3."/>
        <w:lvlJc w:val="right"/>
        <w:pPr>
          <w:ind w:left="1500" w:hanging="180"/>
        </w:pPr>
      </w:lvl>
    </w:lvlOverride>
    <w:lvlOverride w:ilvl="3">
      <w:startOverride w:val="1"/>
      <w:lvl w:ilvl="3" w:tplc="314EC404">
        <w:start w:val="1"/>
        <w:numFmt w:val="decimal"/>
        <w:lvlText w:val="%4."/>
        <w:lvlJc w:val="right"/>
        <w:pPr>
          <w:ind w:left="2000" w:hanging="180"/>
        </w:pPr>
      </w:lvl>
    </w:lvlOverride>
    <w:lvlOverride w:ilvl="4">
      <w:startOverride w:val="1"/>
      <w:lvl w:ilvl="4" w:tplc="7B48FA9E">
        <w:start w:val="1"/>
        <w:numFmt w:val="decimal"/>
        <w:lvlText w:val="%5."/>
        <w:lvlJc w:val="right"/>
        <w:pPr>
          <w:ind w:left="2500" w:hanging="180"/>
        </w:pPr>
      </w:lvl>
    </w:lvlOverride>
    <w:lvlOverride w:ilvl="5">
      <w:startOverride w:val="1"/>
      <w:lvl w:ilvl="5" w:tplc="3EC4641E">
        <w:start w:val="1"/>
        <w:numFmt w:val="decimal"/>
        <w:lvlText w:val="%6."/>
        <w:lvlJc w:val="right"/>
        <w:pPr>
          <w:ind w:left="3000" w:hanging="180"/>
        </w:pPr>
      </w:lvl>
    </w:lvlOverride>
    <w:lvlOverride w:ilvl="6">
      <w:startOverride w:val="1"/>
      <w:lvl w:ilvl="6" w:tplc="419205C2">
        <w:start w:val="1"/>
        <w:numFmt w:val="decimal"/>
        <w:lvlText w:val="%7."/>
        <w:lvlJc w:val="right"/>
        <w:pPr>
          <w:ind w:left="3500" w:hanging="180"/>
        </w:pPr>
      </w:lvl>
    </w:lvlOverride>
    <w:lvlOverride w:ilvl="7">
      <w:startOverride w:val="1"/>
      <w:lvl w:ilvl="7" w:tplc="3D9C1290">
        <w:start w:val="1"/>
        <w:numFmt w:val="decimal"/>
        <w:lvlText w:val="%8."/>
        <w:lvlJc w:val="right"/>
        <w:pPr>
          <w:ind w:left="4000" w:hanging="180"/>
        </w:pPr>
      </w:lvl>
    </w:lvlOverride>
    <w:lvlOverride w:ilvl="8">
      <w:startOverride w:val="1"/>
      <w:lvl w:ilvl="8" w:tplc="94786048">
        <w:start w:val="1"/>
        <w:numFmt w:val="decimal"/>
        <w:lvlText w:val="%9."/>
        <w:lvlJc w:val="right"/>
        <w:pPr>
          <w:ind w:left="4500" w:hanging="180"/>
        </w:pPr>
      </w:lvl>
    </w:lvlOverride>
  </w:num>
  <w:num w:numId="34" w16cid:durableId="1348020551">
    <w:abstractNumId w:val="2"/>
    <w:lvlOverride w:ilvl="0">
      <w:startOverride w:val="1"/>
      <w:lvl w:ilvl="0" w:tplc="C840DAFA">
        <w:start w:val="1"/>
        <w:numFmt w:val="bullet"/>
        <w:lvlText w:val=""/>
        <w:lvlJc w:val="right"/>
        <w:pPr>
          <w:ind w:left="500" w:hanging="180"/>
        </w:pPr>
        <w:rPr>
          <w:rFonts w:ascii="Symbol" w:hAnsi="Symbol" w:hint="default"/>
        </w:rPr>
      </w:lvl>
    </w:lvlOverride>
    <w:lvlOverride w:ilvl="1">
      <w:startOverride w:val="1"/>
      <w:lvl w:ilvl="1" w:tplc="5EF41200">
        <w:start w:val="1"/>
        <w:numFmt w:val="decimal"/>
        <w:lvlText w:val="%2."/>
        <w:lvlJc w:val="right"/>
        <w:pPr>
          <w:ind w:left="1000" w:hanging="180"/>
        </w:pPr>
      </w:lvl>
    </w:lvlOverride>
    <w:lvlOverride w:ilvl="2">
      <w:startOverride w:val="1"/>
      <w:lvl w:ilvl="2" w:tplc="D646B226">
        <w:start w:val="1"/>
        <w:numFmt w:val="decimal"/>
        <w:lvlText w:val="%3."/>
        <w:lvlJc w:val="right"/>
        <w:pPr>
          <w:ind w:left="1500" w:hanging="180"/>
        </w:pPr>
      </w:lvl>
    </w:lvlOverride>
    <w:lvlOverride w:ilvl="3">
      <w:startOverride w:val="1"/>
      <w:lvl w:ilvl="3" w:tplc="FE080CDE">
        <w:start w:val="1"/>
        <w:numFmt w:val="decimal"/>
        <w:lvlText w:val="%4."/>
        <w:lvlJc w:val="right"/>
        <w:pPr>
          <w:ind w:left="2000" w:hanging="180"/>
        </w:pPr>
      </w:lvl>
    </w:lvlOverride>
    <w:lvlOverride w:ilvl="4">
      <w:startOverride w:val="1"/>
      <w:lvl w:ilvl="4" w:tplc="21A4FC06">
        <w:start w:val="1"/>
        <w:numFmt w:val="decimal"/>
        <w:lvlText w:val="%5."/>
        <w:lvlJc w:val="right"/>
        <w:pPr>
          <w:ind w:left="2500" w:hanging="180"/>
        </w:pPr>
      </w:lvl>
    </w:lvlOverride>
    <w:lvlOverride w:ilvl="5">
      <w:startOverride w:val="1"/>
      <w:lvl w:ilvl="5" w:tplc="F6A82AE6">
        <w:start w:val="1"/>
        <w:numFmt w:val="decimal"/>
        <w:lvlText w:val="%6."/>
        <w:lvlJc w:val="right"/>
        <w:pPr>
          <w:ind w:left="3000" w:hanging="180"/>
        </w:pPr>
      </w:lvl>
    </w:lvlOverride>
    <w:lvlOverride w:ilvl="6">
      <w:startOverride w:val="1"/>
      <w:lvl w:ilvl="6" w:tplc="2CF072EE">
        <w:start w:val="1"/>
        <w:numFmt w:val="decimal"/>
        <w:lvlText w:val="%7."/>
        <w:lvlJc w:val="right"/>
        <w:pPr>
          <w:ind w:left="3500" w:hanging="180"/>
        </w:pPr>
      </w:lvl>
    </w:lvlOverride>
    <w:lvlOverride w:ilvl="7">
      <w:startOverride w:val="1"/>
      <w:lvl w:ilvl="7" w:tplc="9732DE70">
        <w:start w:val="1"/>
        <w:numFmt w:val="decimal"/>
        <w:lvlText w:val="%8."/>
        <w:lvlJc w:val="right"/>
        <w:pPr>
          <w:ind w:left="4000" w:hanging="180"/>
        </w:pPr>
      </w:lvl>
    </w:lvlOverride>
    <w:lvlOverride w:ilvl="8">
      <w:startOverride w:val="1"/>
      <w:lvl w:ilvl="8" w:tplc="F4DA07BA">
        <w:start w:val="1"/>
        <w:numFmt w:val="decimal"/>
        <w:lvlText w:val="%9."/>
        <w:lvlJc w:val="right"/>
        <w:pPr>
          <w:ind w:left="4500" w:hanging="180"/>
        </w:pPr>
      </w:lvl>
    </w:lvlOverride>
  </w:num>
  <w:num w:numId="35" w16cid:durableId="335301602">
    <w:abstractNumId w:val="20"/>
    <w:lvlOverride w:ilvl="0">
      <w:startOverride w:val="1"/>
      <w:lvl w:ilvl="0" w:tplc="F566F2F6">
        <w:start w:val="1"/>
        <w:numFmt w:val="bullet"/>
        <w:lvlText w:val=""/>
        <w:lvlJc w:val="right"/>
        <w:pPr>
          <w:ind w:left="500" w:hanging="180"/>
        </w:pPr>
        <w:rPr>
          <w:rFonts w:ascii="Symbol" w:hAnsi="Symbol" w:hint="default"/>
        </w:rPr>
      </w:lvl>
    </w:lvlOverride>
    <w:lvlOverride w:ilvl="1">
      <w:startOverride w:val="1"/>
      <w:lvl w:ilvl="1" w:tplc="467C66C6">
        <w:start w:val="1"/>
        <w:numFmt w:val="decimal"/>
        <w:lvlText w:val="%2."/>
        <w:lvlJc w:val="right"/>
        <w:pPr>
          <w:ind w:left="1000" w:hanging="180"/>
        </w:pPr>
      </w:lvl>
    </w:lvlOverride>
    <w:lvlOverride w:ilvl="2">
      <w:startOverride w:val="1"/>
      <w:lvl w:ilvl="2" w:tplc="115EA376">
        <w:start w:val="1"/>
        <w:numFmt w:val="decimal"/>
        <w:lvlText w:val="%3."/>
        <w:lvlJc w:val="right"/>
        <w:pPr>
          <w:ind w:left="1500" w:hanging="180"/>
        </w:pPr>
      </w:lvl>
    </w:lvlOverride>
    <w:lvlOverride w:ilvl="3">
      <w:startOverride w:val="1"/>
      <w:lvl w:ilvl="3" w:tplc="66180E20">
        <w:start w:val="1"/>
        <w:numFmt w:val="decimal"/>
        <w:lvlText w:val="%4."/>
        <w:lvlJc w:val="right"/>
        <w:pPr>
          <w:ind w:left="2000" w:hanging="180"/>
        </w:pPr>
      </w:lvl>
    </w:lvlOverride>
    <w:lvlOverride w:ilvl="4">
      <w:startOverride w:val="1"/>
      <w:lvl w:ilvl="4" w:tplc="221858A0">
        <w:start w:val="1"/>
        <w:numFmt w:val="decimal"/>
        <w:lvlText w:val="%5."/>
        <w:lvlJc w:val="right"/>
        <w:pPr>
          <w:ind w:left="2500" w:hanging="180"/>
        </w:pPr>
      </w:lvl>
    </w:lvlOverride>
    <w:lvlOverride w:ilvl="5">
      <w:startOverride w:val="1"/>
      <w:lvl w:ilvl="5" w:tplc="630AE078">
        <w:start w:val="1"/>
        <w:numFmt w:val="decimal"/>
        <w:lvlText w:val="%6."/>
        <w:lvlJc w:val="right"/>
        <w:pPr>
          <w:ind w:left="3000" w:hanging="180"/>
        </w:pPr>
      </w:lvl>
    </w:lvlOverride>
    <w:lvlOverride w:ilvl="6">
      <w:startOverride w:val="1"/>
      <w:lvl w:ilvl="6" w:tplc="072A53A6">
        <w:start w:val="1"/>
        <w:numFmt w:val="decimal"/>
        <w:lvlText w:val="%7."/>
        <w:lvlJc w:val="right"/>
        <w:pPr>
          <w:ind w:left="3500" w:hanging="180"/>
        </w:pPr>
      </w:lvl>
    </w:lvlOverride>
    <w:lvlOverride w:ilvl="7">
      <w:startOverride w:val="1"/>
      <w:lvl w:ilvl="7" w:tplc="8F6CA9B2">
        <w:start w:val="1"/>
        <w:numFmt w:val="decimal"/>
        <w:lvlText w:val="%8."/>
        <w:lvlJc w:val="right"/>
        <w:pPr>
          <w:ind w:left="4000" w:hanging="180"/>
        </w:pPr>
      </w:lvl>
    </w:lvlOverride>
    <w:lvlOverride w:ilvl="8">
      <w:startOverride w:val="1"/>
      <w:lvl w:ilvl="8" w:tplc="8D7A1992">
        <w:start w:val="1"/>
        <w:numFmt w:val="decimal"/>
        <w:lvlText w:val="%9."/>
        <w:lvlJc w:val="right"/>
        <w:pPr>
          <w:ind w:left="4500" w:hanging="180"/>
        </w:pPr>
      </w:lvl>
    </w:lvlOverride>
  </w:num>
  <w:num w:numId="36" w16cid:durableId="140466402">
    <w:abstractNumId w:val="20"/>
    <w:lvlOverride w:ilvl="0">
      <w:startOverride w:val="1"/>
      <w:lvl w:ilvl="0" w:tplc="F566F2F6">
        <w:start w:val="1"/>
        <w:numFmt w:val="bullet"/>
        <w:lvlText w:val=""/>
        <w:lvlJc w:val="right"/>
        <w:pPr>
          <w:ind w:left="500" w:hanging="180"/>
        </w:pPr>
        <w:rPr>
          <w:rFonts w:ascii="Symbol" w:hAnsi="Symbol" w:hint="default"/>
        </w:rPr>
      </w:lvl>
    </w:lvlOverride>
    <w:lvlOverride w:ilvl="1">
      <w:startOverride w:val="1"/>
      <w:lvl w:ilvl="1" w:tplc="467C66C6">
        <w:start w:val="1"/>
        <w:numFmt w:val="decimal"/>
        <w:lvlText w:val="%2."/>
        <w:lvlJc w:val="right"/>
        <w:pPr>
          <w:ind w:left="1000" w:hanging="180"/>
        </w:pPr>
      </w:lvl>
    </w:lvlOverride>
    <w:lvlOverride w:ilvl="2">
      <w:startOverride w:val="1"/>
      <w:lvl w:ilvl="2" w:tplc="115EA376">
        <w:start w:val="1"/>
        <w:numFmt w:val="decimal"/>
        <w:lvlText w:val="%3."/>
        <w:lvlJc w:val="right"/>
        <w:pPr>
          <w:ind w:left="1500" w:hanging="180"/>
        </w:pPr>
      </w:lvl>
    </w:lvlOverride>
    <w:lvlOverride w:ilvl="3">
      <w:startOverride w:val="1"/>
      <w:lvl w:ilvl="3" w:tplc="66180E20">
        <w:start w:val="1"/>
        <w:numFmt w:val="decimal"/>
        <w:lvlText w:val="%4."/>
        <w:lvlJc w:val="right"/>
        <w:pPr>
          <w:ind w:left="2000" w:hanging="180"/>
        </w:pPr>
      </w:lvl>
    </w:lvlOverride>
    <w:lvlOverride w:ilvl="4">
      <w:startOverride w:val="1"/>
      <w:lvl w:ilvl="4" w:tplc="221858A0">
        <w:start w:val="1"/>
        <w:numFmt w:val="decimal"/>
        <w:lvlText w:val="%5."/>
        <w:lvlJc w:val="right"/>
        <w:pPr>
          <w:ind w:left="2500" w:hanging="180"/>
        </w:pPr>
      </w:lvl>
    </w:lvlOverride>
    <w:lvlOverride w:ilvl="5">
      <w:startOverride w:val="1"/>
      <w:lvl w:ilvl="5" w:tplc="630AE078">
        <w:start w:val="1"/>
        <w:numFmt w:val="decimal"/>
        <w:lvlText w:val="%6."/>
        <w:lvlJc w:val="right"/>
        <w:pPr>
          <w:ind w:left="3000" w:hanging="180"/>
        </w:pPr>
      </w:lvl>
    </w:lvlOverride>
    <w:lvlOverride w:ilvl="6">
      <w:startOverride w:val="1"/>
      <w:lvl w:ilvl="6" w:tplc="072A53A6">
        <w:start w:val="1"/>
        <w:numFmt w:val="decimal"/>
        <w:lvlText w:val="%7."/>
        <w:lvlJc w:val="right"/>
        <w:pPr>
          <w:ind w:left="3500" w:hanging="180"/>
        </w:pPr>
      </w:lvl>
    </w:lvlOverride>
    <w:lvlOverride w:ilvl="7">
      <w:startOverride w:val="1"/>
      <w:lvl w:ilvl="7" w:tplc="8F6CA9B2">
        <w:start w:val="1"/>
        <w:numFmt w:val="decimal"/>
        <w:lvlText w:val="%8."/>
        <w:lvlJc w:val="right"/>
        <w:pPr>
          <w:ind w:left="4000" w:hanging="180"/>
        </w:pPr>
      </w:lvl>
    </w:lvlOverride>
    <w:lvlOverride w:ilvl="8">
      <w:startOverride w:val="1"/>
      <w:lvl w:ilvl="8" w:tplc="8D7A1992">
        <w:start w:val="1"/>
        <w:numFmt w:val="decimal"/>
        <w:lvlText w:val="%9."/>
        <w:lvlJc w:val="right"/>
        <w:pPr>
          <w:ind w:left="4500" w:hanging="180"/>
        </w:pPr>
      </w:lvl>
    </w:lvlOverride>
  </w:num>
  <w:num w:numId="37" w16cid:durableId="374696059">
    <w:abstractNumId w:val="20"/>
    <w:lvlOverride w:ilvl="0">
      <w:startOverride w:val="1"/>
      <w:lvl w:ilvl="0" w:tplc="F566F2F6">
        <w:start w:val="1"/>
        <w:numFmt w:val="bullet"/>
        <w:lvlText w:val=""/>
        <w:lvlJc w:val="right"/>
        <w:pPr>
          <w:ind w:left="500" w:hanging="180"/>
        </w:pPr>
        <w:rPr>
          <w:rFonts w:ascii="Symbol" w:hAnsi="Symbol" w:hint="default"/>
        </w:rPr>
      </w:lvl>
    </w:lvlOverride>
    <w:lvlOverride w:ilvl="1">
      <w:startOverride w:val="1"/>
      <w:lvl w:ilvl="1" w:tplc="467C66C6">
        <w:start w:val="1"/>
        <w:numFmt w:val="decimal"/>
        <w:lvlText w:val="%2."/>
        <w:lvlJc w:val="right"/>
        <w:pPr>
          <w:ind w:left="1000" w:hanging="180"/>
        </w:pPr>
      </w:lvl>
    </w:lvlOverride>
    <w:lvlOverride w:ilvl="2">
      <w:startOverride w:val="1"/>
      <w:lvl w:ilvl="2" w:tplc="115EA376">
        <w:start w:val="1"/>
        <w:numFmt w:val="decimal"/>
        <w:lvlText w:val="%3."/>
        <w:lvlJc w:val="right"/>
        <w:pPr>
          <w:ind w:left="1500" w:hanging="180"/>
        </w:pPr>
      </w:lvl>
    </w:lvlOverride>
    <w:lvlOverride w:ilvl="3">
      <w:startOverride w:val="1"/>
      <w:lvl w:ilvl="3" w:tplc="66180E20">
        <w:start w:val="1"/>
        <w:numFmt w:val="decimal"/>
        <w:lvlText w:val="%4."/>
        <w:lvlJc w:val="right"/>
        <w:pPr>
          <w:ind w:left="2000" w:hanging="180"/>
        </w:pPr>
      </w:lvl>
    </w:lvlOverride>
    <w:lvlOverride w:ilvl="4">
      <w:startOverride w:val="1"/>
      <w:lvl w:ilvl="4" w:tplc="221858A0">
        <w:start w:val="1"/>
        <w:numFmt w:val="decimal"/>
        <w:lvlText w:val="%5."/>
        <w:lvlJc w:val="right"/>
        <w:pPr>
          <w:ind w:left="2500" w:hanging="180"/>
        </w:pPr>
      </w:lvl>
    </w:lvlOverride>
    <w:lvlOverride w:ilvl="5">
      <w:startOverride w:val="1"/>
      <w:lvl w:ilvl="5" w:tplc="630AE078">
        <w:start w:val="1"/>
        <w:numFmt w:val="decimal"/>
        <w:lvlText w:val="%6."/>
        <w:lvlJc w:val="right"/>
        <w:pPr>
          <w:ind w:left="3000" w:hanging="180"/>
        </w:pPr>
      </w:lvl>
    </w:lvlOverride>
    <w:lvlOverride w:ilvl="6">
      <w:startOverride w:val="1"/>
      <w:lvl w:ilvl="6" w:tplc="072A53A6">
        <w:start w:val="1"/>
        <w:numFmt w:val="decimal"/>
        <w:lvlText w:val="%7."/>
        <w:lvlJc w:val="right"/>
        <w:pPr>
          <w:ind w:left="3500" w:hanging="180"/>
        </w:pPr>
      </w:lvl>
    </w:lvlOverride>
    <w:lvlOverride w:ilvl="7">
      <w:startOverride w:val="1"/>
      <w:lvl w:ilvl="7" w:tplc="8F6CA9B2">
        <w:start w:val="1"/>
        <w:numFmt w:val="decimal"/>
        <w:lvlText w:val="%8."/>
        <w:lvlJc w:val="right"/>
        <w:pPr>
          <w:ind w:left="4000" w:hanging="180"/>
        </w:pPr>
      </w:lvl>
    </w:lvlOverride>
    <w:lvlOverride w:ilvl="8">
      <w:startOverride w:val="1"/>
      <w:lvl w:ilvl="8" w:tplc="8D7A1992">
        <w:start w:val="1"/>
        <w:numFmt w:val="decimal"/>
        <w:lvlText w:val="%9."/>
        <w:lvlJc w:val="right"/>
        <w:pPr>
          <w:ind w:left="4500" w:hanging="180"/>
        </w:pPr>
      </w:lvl>
    </w:lvlOverride>
  </w:num>
  <w:num w:numId="38" w16cid:durableId="412237844">
    <w:abstractNumId w:val="4"/>
    <w:lvlOverride w:ilvl="0">
      <w:startOverride w:val="1"/>
      <w:lvl w:ilvl="0" w:tplc="7FCC51F0">
        <w:start w:val="1"/>
        <w:numFmt w:val="bullet"/>
        <w:lvlText w:val=""/>
        <w:lvlJc w:val="right"/>
        <w:pPr>
          <w:ind w:left="500" w:hanging="180"/>
        </w:pPr>
        <w:rPr>
          <w:rFonts w:ascii="Symbol" w:hAnsi="Symbol" w:hint="default"/>
        </w:rPr>
      </w:lvl>
    </w:lvlOverride>
    <w:lvlOverride w:ilvl="1">
      <w:startOverride w:val="1"/>
      <w:lvl w:ilvl="1" w:tplc="C0DA14FA">
        <w:start w:val="1"/>
        <w:numFmt w:val="decimal"/>
        <w:lvlText w:val="%2."/>
        <w:lvlJc w:val="right"/>
        <w:pPr>
          <w:ind w:left="1000" w:hanging="180"/>
        </w:pPr>
      </w:lvl>
    </w:lvlOverride>
    <w:lvlOverride w:ilvl="2">
      <w:startOverride w:val="1"/>
      <w:lvl w:ilvl="2" w:tplc="171AA1FC">
        <w:start w:val="1"/>
        <w:numFmt w:val="decimal"/>
        <w:lvlText w:val="%3."/>
        <w:lvlJc w:val="right"/>
        <w:pPr>
          <w:ind w:left="1500" w:hanging="180"/>
        </w:pPr>
      </w:lvl>
    </w:lvlOverride>
    <w:lvlOverride w:ilvl="3">
      <w:startOverride w:val="1"/>
      <w:lvl w:ilvl="3" w:tplc="E59E5DF6">
        <w:start w:val="1"/>
        <w:numFmt w:val="decimal"/>
        <w:lvlText w:val="%4."/>
        <w:lvlJc w:val="right"/>
        <w:pPr>
          <w:ind w:left="2000" w:hanging="180"/>
        </w:pPr>
      </w:lvl>
    </w:lvlOverride>
    <w:lvlOverride w:ilvl="4">
      <w:startOverride w:val="1"/>
      <w:lvl w:ilvl="4" w:tplc="FCE6AACC">
        <w:start w:val="1"/>
        <w:numFmt w:val="decimal"/>
        <w:lvlText w:val="%5."/>
        <w:lvlJc w:val="right"/>
        <w:pPr>
          <w:ind w:left="2500" w:hanging="180"/>
        </w:pPr>
      </w:lvl>
    </w:lvlOverride>
    <w:lvlOverride w:ilvl="5">
      <w:startOverride w:val="1"/>
      <w:lvl w:ilvl="5" w:tplc="FA4AAD22">
        <w:start w:val="1"/>
        <w:numFmt w:val="decimal"/>
        <w:lvlText w:val="%6."/>
        <w:lvlJc w:val="right"/>
        <w:pPr>
          <w:ind w:left="3000" w:hanging="180"/>
        </w:pPr>
      </w:lvl>
    </w:lvlOverride>
    <w:lvlOverride w:ilvl="6">
      <w:startOverride w:val="1"/>
      <w:lvl w:ilvl="6" w:tplc="63C61DD2">
        <w:start w:val="1"/>
        <w:numFmt w:val="decimal"/>
        <w:lvlText w:val="%7."/>
        <w:lvlJc w:val="right"/>
        <w:pPr>
          <w:ind w:left="3500" w:hanging="180"/>
        </w:pPr>
      </w:lvl>
    </w:lvlOverride>
    <w:lvlOverride w:ilvl="7">
      <w:startOverride w:val="1"/>
      <w:lvl w:ilvl="7" w:tplc="69AEA560">
        <w:start w:val="1"/>
        <w:numFmt w:val="decimal"/>
        <w:lvlText w:val="%8."/>
        <w:lvlJc w:val="right"/>
        <w:pPr>
          <w:ind w:left="4000" w:hanging="180"/>
        </w:pPr>
      </w:lvl>
    </w:lvlOverride>
    <w:lvlOverride w:ilvl="8">
      <w:startOverride w:val="1"/>
      <w:lvl w:ilvl="8" w:tplc="CE6CB89E">
        <w:start w:val="1"/>
        <w:numFmt w:val="decimal"/>
        <w:lvlText w:val="%9."/>
        <w:lvlJc w:val="right"/>
        <w:pPr>
          <w:ind w:left="4500" w:hanging="180"/>
        </w:pPr>
      </w:lvl>
    </w:lvlOverride>
  </w:num>
  <w:num w:numId="39" w16cid:durableId="616643143">
    <w:abstractNumId w:val="4"/>
    <w:lvlOverride w:ilvl="0">
      <w:startOverride w:val="1"/>
      <w:lvl w:ilvl="0" w:tplc="7FCC51F0">
        <w:start w:val="1"/>
        <w:numFmt w:val="bullet"/>
        <w:lvlText w:val=""/>
        <w:lvlJc w:val="right"/>
        <w:pPr>
          <w:ind w:left="500" w:hanging="180"/>
        </w:pPr>
        <w:rPr>
          <w:rFonts w:ascii="Symbol" w:hAnsi="Symbol" w:hint="default"/>
        </w:rPr>
      </w:lvl>
    </w:lvlOverride>
    <w:lvlOverride w:ilvl="1">
      <w:startOverride w:val="1"/>
      <w:lvl w:ilvl="1" w:tplc="C0DA14FA">
        <w:start w:val="1"/>
        <w:numFmt w:val="decimal"/>
        <w:lvlText w:val="%2."/>
        <w:lvlJc w:val="right"/>
        <w:pPr>
          <w:ind w:left="1000" w:hanging="180"/>
        </w:pPr>
      </w:lvl>
    </w:lvlOverride>
    <w:lvlOverride w:ilvl="2">
      <w:startOverride w:val="1"/>
      <w:lvl w:ilvl="2" w:tplc="171AA1FC">
        <w:start w:val="1"/>
        <w:numFmt w:val="decimal"/>
        <w:lvlText w:val="%3."/>
        <w:lvlJc w:val="right"/>
        <w:pPr>
          <w:ind w:left="1500" w:hanging="180"/>
        </w:pPr>
      </w:lvl>
    </w:lvlOverride>
    <w:lvlOverride w:ilvl="3">
      <w:startOverride w:val="1"/>
      <w:lvl w:ilvl="3" w:tplc="E59E5DF6">
        <w:start w:val="1"/>
        <w:numFmt w:val="decimal"/>
        <w:lvlText w:val="%4."/>
        <w:lvlJc w:val="right"/>
        <w:pPr>
          <w:ind w:left="2000" w:hanging="180"/>
        </w:pPr>
      </w:lvl>
    </w:lvlOverride>
    <w:lvlOverride w:ilvl="4">
      <w:startOverride w:val="1"/>
      <w:lvl w:ilvl="4" w:tplc="FCE6AACC">
        <w:start w:val="1"/>
        <w:numFmt w:val="decimal"/>
        <w:lvlText w:val="%5."/>
        <w:lvlJc w:val="right"/>
        <w:pPr>
          <w:ind w:left="2500" w:hanging="180"/>
        </w:pPr>
      </w:lvl>
    </w:lvlOverride>
    <w:lvlOverride w:ilvl="5">
      <w:startOverride w:val="1"/>
      <w:lvl w:ilvl="5" w:tplc="FA4AAD22">
        <w:start w:val="1"/>
        <w:numFmt w:val="decimal"/>
        <w:lvlText w:val="%6."/>
        <w:lvlJc w:val="right"/>
        <w:pPr>
          <w:ind w:left="3000" w:hanging="180"/>
        </w:pPr>
      </w:lvl>
    </w:lvlOverride>
    <w:lvlOverride w:ilvl="6">
      <w:startOverride w:val="1"/>
      <w:lvl w:ilvl="6" w:tplc="63C61DD2">
        <w:start w:val="1"/>
        <w:numFmt w:val="decimal"/>
        <w:lvlText w:val="%7."/>
        <w:lvlJc w:val="right"/>
        <w:pPr>
          <w:ind w:left="3500" w:hanging="180"/>
        </w:pPr>
      </w:lvl>
    </w:lvlOverride>
    <w:lvlOverride w:ilvl="7">
      <w:startOverride w:val="1"/>
      <w:lvl w:ilvl="7" w:tplc="69AEA560">
        <w:start w:val="1"/>
        <w:numFmt w:val="decimal"/>
        <w:lvlText w:val="%8."/>
        <w:lvlJc w:val="right"/>
        <w:pPr>
          <w:ind w:left="4000" w:hanging="180"/>
        </w:pPr>
      </w:lvl>
    </w:lvlOverride>
    <w:lvlOverride w:ilvl="8">
      <w:startOverride w:val="1"/>
      <w:lvl w:ilvl="8" w:tplc="CE6CB89E">
        <w:start w:val="1"/>
        <w:numFmt w:val="decimal"/>
        <w:lvlText w:val="%9."/>
        <w:lvlJc w:val="right"/>
        <w:pPr>
          <w:ind w:left="4500" w:hanging="180"/>
        </w:pPr>
      </w:lvl>
    </w:lvlOverride>
  </w:num>
  <w:num w:numId="40" w16cid:durableId="1268930496">
    <w:abstractNumId w:val="39"/>
    <w:lvlOverride w:ilvl="0">
      <w:startOverride w:val="1"/>
      <w:lvl w:ilvl="0" w:tplc="2DDEE428">
        <w:start w:val="1"/>
        <w:numFmt w:val="bullet"/>
        <w:lvlText w:val=""/>
        <w:lvlJc w:val="right"/>
        <w:pPr>
          <w:ind w:left="500" w:hanging="180"/>
        </w:pPr>
        <w:rPr>
          <w:rFonts w:ascii="Symbol" w:hAnsi="Symbol" w:hint="default"/>
        </w:rPr>
      </w:lvl>
    </w:lvlOverride>
    <w:lvlOverride w:ilvl="1">
      <w:startOverride w:val="1"/>
      <w:lvl w:ilvl="1" w:tplc="6D4C89A4">
        <w:start w:val="1"/>
        <w:numFmt w:val="decimal"/>
        <w:lvlText w:val="%2."/>
        <w:lvlJc w:val="right"/>
        <w:pPr>
          <w:ind w:left="1000" w:hanging="180"/>
        </w:pPr>
      </w:lvl>
    </w:lvlOverride>
    <w:lvlOverride w:ilvl="2">
      <w:startOverride w:val="1"/>
      <w:lvl w:ilvl="2" w:tplc="C4FC8CE0">
        <w:start w:val="1"/>
        <w:numFmt w:val="decimal"/>
        <w:lvlText w:val="%3."/>
        <w:lvlJc w:val="right"/>
        <w:pPr>
          <w:ind w:left="1500" w:hanging="180"/>
        </w:pPr>
      </w:lvl>
    </w:lvlOverride>
    <w:lvlOverride w:ilvl="3">
      <w:startOverride w:val="1"/>
      <w:lvl w:ilvl="3" w:tplc="D9588756">
        <w:start w:val="1"/>
        <w:numFmt w:val="decimal"/>
        <w:lvlText w:val="%4."/>
        <w:lvlJc w:val="right"/>
        <w:pPr>
          <w:ind w:left="2000" w:hanging="180"/>
        </w:pPr>
      </w:lvl>
    </w:lvlOverride>
    <w:lvlOverride w:ilvl="4">
      <w:startOverride w:val="1"/>
      <w:lvl w:ilvl="4" w:tplc="4D58ADAA">
        <w:start w:val="1"/>
        <w:numFmt w:val="decimal"/>
        <w:lvlText w:val="%5."/>
        <w:lvlJc w:val="right"/>
        <w:pPr>
          <w:ind w:left="2500" w:hanging="180"/>
        </w:pPr>
      </w:lvl>
    </w:lvlOverride>
    <w:lvlOverride w:ilvl="5">
      <w:startOverride w:val="1"/>
      <w:lvl w:ilvl="5" w:tplc="C7DE2A0E">
        <w:start w:val="1"/>
        <w:numFmt w:val="decimal"/>
        <w:lvlText w:val="%6."/>
        <w:lvlJc w:val="right"/>
        <w:pPr>
          <w:ind w:left="3000" w:hanging="180"/>
        </w:pPr>
      </w:lvl>
    </w:lvlOverride>
    <w:lvlOverride w:ilvl="6">
      <w:startOverride w:val="1"/>
      <w:lvl w:ilvl="6" w:tplc="DA627A76">
        <w:start w:val="1"/>
        <w:numFmt w:val="decimal"/>
        <w:lvlText w:val="%7."/>
        <w:lvlJc w:val="right"/>
        <w:pPr>
          <w:ind w:left="3500" w:hanging="180"/>
        </w:pPr>
      </w:lvl>
    </w:lvlOverride>
    <w:lvlOverride w:ilvl="7">
      <w:startOverride w:val="1"/>
      <w:lvl w:ilvl="7" w:tplc="86D6268E">
        <w:start w:val="1"/>
        <w:numFmt w:val="decimal"/>
        <w:lvlText w:val="%8."/>
        <w:lvlJc w:val="right"/>
        <w:pPr>
          <w:ind w:left="4000" w:hanging="180"/>
        </w:pPr>
      </w:lvl>
    </w:lvlOverride>
    <w:lvlOverride w:ilvl="8">
      <w:startOverride w:val="1"/>
      <w:lvl w:ilvl="8" w:tplc="7EDACE1E">
        <w:start w:val="1"/>
        <w:numFmt w:val="decimal"/>
        <w:lvlText w:val="%9."/>
        <w:lvlJc w:val="right"/>
        <w:pPr>
          <w:ind w:left="4500" w:hanging="180"/>
        </w:pPr>
      </w:lvl>
    </w:lvlOverride>
  </w:num>
  <w:num w:numId="41" w16cid:durableId="139423344">
    <w:abstractNumId w:val="5"/>
    <w:lvlOverride w:ilvl="0">
      <w:startOverride w:val="1"/>
      <w:lvl w:ilvl="0" w:tplc="3C90C306">
        <w:start w:val="1"/>
        <w:numFmt w:val="bullet"/>
        <w:lvlText w:val=""/>
        <w:lvlJc w:val="right"/>
        <w:pPr>
          <w:ind w:left="500" w:hanging="180"/>
        </w:pPr>
        <w:rPr>
          <w:rFonts w:ascii="Symbol" w:hAnsi="Symbol" w:hint="default"/>
        </w:rPr>
      </w:lvl>
    </w:lvlOverride>
    <w:lvlOverride w:ilvl="1">
      <w:startOverride w:val="1"/>
      <w:lvl w:ilvl="1" w:tplc="60F2AD72">
        <w:start w:val="1"/>
        <w:numFmt w:val="bullet"/>
        <w:lvlText w:val="o"/>
        <w:lvlJc w:val="right"/>
        <w:pPr>
          <w:ind w:left="1000" w:hanging="180"/>
        </w:pPr>
        <w:rPr>
          <w:rFonts w:ascii="Symbol" w:hAnsi="Symbol" w:hint="default"/>
        </w:rPr>
      </w:lvl>
    </w:lvlOverride>
    <w:lvlOverride w:ilvl="2">
      <w:startOverride w:val="1"/>
      <w:lvl w:ilvl="2" w:tplc="92F684FA">
        <w:start w:val="1"/>
        <w:numFmt w:val="decimal"/>
        <w:lvlText w:val="%3."/>
        <w:lvlJc w:val="right"/>
        <w:pPr>
          <w:ind w:left="1500" w:hanging="180"/>
        </w:pPr>
      </w:lvl>
    </w:lvlOverride>
    <w:lvlOverride w:ilvl="3">
      <w:startOverride w:val="1"/>
      <w:lvl w:ilvl="3" w:tplc="F842BD04">
        <w:start w:val="1"/>
        <w:numFmt w:val="decimal"/>
        <w:lvlText w:val="%4."/>
        <w:lvlJc w:val="right"/>
        <w:pPr>
          <w:ind w:left="2000" w:hanging="180"/>
        </w:pPr>
      </w:lvl>
    </w:lvlOverride>
    <w:lvlOverride w:ilvl="4">
      <w:startOverride w:val="1"/>
      <w:lvl w:ilvl="4" w:tplc="F23209C4">
        <w:start w:val="1"/>
        <w:numFmt w:val="decimal"/>
        <w:lvlText w:val="%5."/>
        <w:lvlJc w:val="right"/>
        <w:pPr>
          <w:ind w:left="2500" w:hanging="180"/>
        </w:pPr>
      </w:lvl>
    </w:lvlOverride>
    <w:lvlOverride w:ilvl="5">
      <w:startOverride w:val="1"/>
      <w:lvl w:ilvl="5" w:tplc="22FEBFA6">
        <w:start w:val="1"/>
        <w:numFmt w:val="decimal"/>
        <w:lvlText w:val="%6."/>
        <w:lvlJc w:val="right"/>
        <w:pPr>
          <w:ind w:left="3000" w:hanging="180"/>
        </w:pPr>
      </w:lvl>
    </w:lvlOverride>
    <w:lvlOverride w:ilvl="6">
      <w:startOverride w:val="1"/>
      <w:lvl w:ilvl="6" w:tplc="D936698E">
        <w:start w:val="1"/>
        <w:numFmt w:val="decimal"/>
        <w:lvlText w:val="%7."/>
        <w:lvlJc w:val="right"/>
        <w:pPr>
          <w:ind w:left="3500" w:hanging="180"/>
        </w:pPr>
      </w:lvl>
    </w:lvlOverride>
    <w:lvlOverride w:ilvl="7">
      <w:startOverride w:val="1"/>
      <w:lvl w:ilvl="7" w:tplc="E6DC4A4E">
        <w:start w:val="1"/>
        <w:numFmt w:val="decimal"/>
        <w:lvlText w:val="%8."/>
        <w:lvlJc w:val="right"/>
        <w:pPr>
          <w:ind w:left="4000" w:hanging="180"/>
        </w:pPr>
      </w:lvl>
    </w:lvlOverride>
    <w:lvlOverride w:ilvl="8">
      <w:startOverride w:val="1"/>
      <w:lvl w:ilvl="8" w:tplc="0BB8E67C">
        <w:start w:val="1"/>
        <w:numFmt w:val="decimal"/>
        <w:lvlText w:val="%9."/>
        <w:lvlJc w:val="right"/>
        <w:pPr>
          <w:ind w:left="4500" w:hanging="180"/>
        </w:pPr>
      </w:lvl>
    </w:lvlOverride>
  </w:num>
  <w:num w:numId="42" w16cid:durableId="1314988256">
    <w:abstractNumId w:val="11"/>
    <w:lvlOverride w:ilvl="0">
      <w:startOverride w:val="1"/>
      <w:lvl w:ilvl="0" w:tplc="50B49968">
        <w:start w:val="1"/>
        <w:numFmt w:val="bullet"/>
        <w:lvlText w:val=""/>
        <w:lvlJc w:val="right"/>
        <w:pPr>
          <w:ind w:left="500" w:hanging="180"/>
        </w:pPr>
        <w:rPr>
          <w:rFonts w:ascii="Symbol" w:hAnsi="Symbol" w:hint="default"/>
        </w:rPr>
      </w:lvl>
    </w:lvlOverride>
    <w:lvlOverride w:ilvl="1">
      <w:startOverride w:val="1"/>
      <w:lvl w:ilvl="1" w:tplc="B804E4BE">
        <w:start w:val="1"/>
        <w:numFmt w:val="decimal"/>
        <w:lvlText w:val="%2."/>
        <w:lvlJc w:val="right"/>
        <w:pPr>
          <w:ind w:left="1000" w:hanging="180"/>
        </w:pPr>
      </w:lvl>
    </w:lvlOverride>
    <w:lvlOverride w:ilvl="2">
      <w:startOverride w:val="1"/>
      <w:lvl w:ilvl="2" w:tplc="CCD0E410">
        <w:start w:val="1"/>
        <w:numFmt w:val="decimal"/>
        <w:lvlText w:val="%3."/>
        <w:lvlJc w:val="right"/>
        <w:pPr>
          <w:ind w:left="1500" w:hanging="180"/>
        </w:pPr>
      </w:lvl>
    </w:lvlOverride>
    <w:lvlOverride w:ilvl="3">
      <w:startOverride w:val="1"/>
      <w:lvl w:ilvl="3" w:tplc="CDA4867A">
        <w:start w:val="1"/>
        <w:numFmt w:val="decimal"/>
        <w:lvlText w:val="%4."/>
        <w:lvlJc w:val="right"/>
        <w:pPr>
          <w:ind w:left="2000" w:hanging="180"/>
        </w:pPr>
      </w:lvl>
    </w:lvlOverride>
    <w:lvlOverride w:ilvl="4">
      <w:startOverride w:val="1"/>
      <w:lvl w:ilvl="4" w:tplc="751AFF8A">
        <w:start w:val="1"/>
        <w:numFmt w:val="decimal"/>
        <w:lvlText w:val="%5."/>
        <w:lvlJc w:val="right"/>
        <w:pPr>
          <w:ind w:left="2500" w:hanging="180"/>
        </w:pPr>
      </w:lvl>
    </w:lvlOverride>
    <w:lvlOverride w:ilvl="5">
      <w:startOverride w:val="1"/>
      <w:lvl w:ilvl="5" w:tplc="002E1F12">
        <w:start w:val="1"/>
        <w:numFmt w:val="decimal"/>
        <w:lvlText w:val="%6."/>
        <w:lvlJc w:val="right"/>
        <w:pPr>
          <w:ind w:left="3000" w:hanging="180"/>
        </w:pPr>
      </w:lvl>
    </w:lvlOverride>
    <w:lvlOverride w:ilvl="6">
      <w:startOverride w:val="1"/>
      <w:lvl w:ilvl="6" w:tplc="3F7A87B6">
        <w:start w:val="1"/>
        <w:numFmt w:val="decimal"/>
        <w:lvlText w:val="%7."/>
        <w:lvlJc w:val="right"/>
        <w:pPr>
          <w:ind w:left="3500" w:hanging="180"/>
        </w:pPr>
      </w:lvl>
    </w:lvlOverride>
    <w:lvlOverride w:ilvl="7">
      <w:startOverride w:val="1"/>
      <w:lvl w:ilvl="7" w:tplc="DDBAC10C">
        <w:start w:val="1"/>
        <w:numFmt w:val="decimal"/>
        <w:lvlText w:val="%8."/>
        <w:lvlJc w:val="right"/>
        <w:pPr>
          <w:ind w:left="4000" w:hanging="180"/>
        </w:pPr>
      </w:lvl>
    </w:lvlOverride>
    <w:lvlOverride w:ilvl="8">
      <w:startOverride w:val="1"/>
      <w:lvl w:ilvl="8" w:tplc="7BCCD18C">
        <w:start w:val="1"/>
        <w:numFmt w:val="decimal"/>
        <w:lvlText w:val="%9."/>
        <w:lvlJc w:val="right"/>
        <w:pPr>
          <w:ind w:left="4500" w:hanging="180"/>
        </w:pPr>
      </w:lvl>
    </w:lvlOverride>
  </w:num>
  <w:num w:numId="43" w16cid:durableId="590049988">
    <w:abstractNumId w:val="9"/>
    <w:lvlOverride w:ilvl="0">
      <w:startOverride w:val="1"/>
      <w:lvl w:ilvl="0" w:tplc="2362CCDE">
        <w:start w:val="1"/>
        <w:numFmt w:val="bullet"/>
        <w:lvlText w:val=""/>
        <w:lvlJc w:val="right"/>
        <w:pPr>
          <w:ind w:left="500" w:hanging="180"/>
        </w:pPr>
        <w:rPr>
          <w:rFonts w:ascii="Symbol" w:hAnsi="Symbol" w:hint="default"/>
        </w:rPr>
      </w:lvl>
    </w:lvlOverride>
    <w:lvlOverride w:ilvl="1">
      <w:startOverride w:val="1"/>
      <w:lvl w:ilvl="1" w:tplc="EBAA5716">
        <w:start w:val="1"/>
        <w:numFmt w:val="decimal"/>
        <w:pStyle w:val="BulletParagraphLevel2"/>
        <w:lvlText w:val="%2."/>
        <w:lvlJc w:val="right"/>
        <w:pPr>
          <w:ind w:left="1000" w:hanging="180"/>
        </w:pPr>
      </w:lvl>
    </w:lvlOverride>
    <w:lvlOverride w:ilvl="2">
      <w:startOverride w:val="1"/>
      <w:lvl w:ilvl="2" w:tplc="58288948">
        <w:start w:val="1"/>
        <w:numFmt w:val="decimal"/>
        <w:lvlText w:val="%3."/>
        <w:lvlJc w:val="right"/>
        <w:pPr>
          <w:ind w:left="1500" w:hanging="180"/>
        </w:pPr>
      </w:lvl>
    </w:lvlOverride>
    <w:lvlOverride w:ilvl="3">
      <w:startOverride w:val="1"/>
      <w:lvl w:ilvl="3" w:tplc="25768F22">
        <w:start w:val="1"/>
        <w:numFmt w:val="decimal"/>
        <w:lvlText w:val="%4."/>
        <w:lvlJc w:val="right"/>
        <w:pPr>
          <w:ind w:left="2000" w:hanging="180"/>
        </w:pPr>
      </w:lvl>
    </w:lvlOverride>
    <w:lvlOverride w:ilvl="4">
      <w:startOverride w:val="1"/>
      <w:lvl w:ilvl="4" w:tplc="AE6C1C20">
        <w:start w:val="1"/>
        <w:numFmt w:val="decimal"/>
        <w:lvlText w:val="%5."/>
        <w:lvlJc w:val="right"/>
        <w:pPr>
          <w:ind w:left="2500" w:hanging="180"/>
        </w:pPr>
      </w:lvl>
    </w:lvlOverride>
    <w:lvlOverride w:ilvl="5">
      <w:startOverride w:val="1"/>
      <w:lvl w:ilvl="5" w:tplc="43707996">
        <w:start w:val="1"/>
        <w:numFmt w:val="decimal"/>
        <w:lvlText w:val="%6."/>
        <w:lvlJc w:val="right"/>
        <w:pPr>
          <w:ind w:left="3000" w:hanging="180"/>
        </w:pPr>
      </w:lvl>
    </w:lvlOverride>
    <w:lvlOverride w:ilvl="6">
      <w:startOverride w:val="1"/>
      <w:lvl w:ilvl="6" w:tplc="E066248A">
        <w:start w:val="1"/>
        <w:numFmt w:val="decimal"/>
        <w:lvlText w:val="%7."/>
        <w:lvlJc w:val="right"/>
        <w:pPr>
          <w:ind w:left="3500" w:hanging="180"/>
        </w:pPr>
      </w:lvl>
    </w:lvlOverride>
    <w:lvlOverride w:ilvl="7">
      <w:startOverride w:val="1"/>
      <w:lvl w:ilvl="7" w:tplc="30A46BE4">
        <w:start w:val="1"/>
        <w:numFmt w:val="decimal"/>
        <w:lvlText w:val="%8."/>
        <w:lvlJc w:val="right"/>
        <w:pPr>
          <w:ind w:left="4000" w:hanging="180"/>
        </w:pPr>
      </w:lvl>
    </w:lvlOverride>
    <w:lvlOverride w:ilvl="8">
      <w:startOverride w:val="1"/>
      <w:lvl w:ilvl="8" w:tplc="7D14E2AA">
        <w:start w:val="1"/>
        <w:numFmt w:val="decimal"/>
        <w:lvlText w:val="%9."/>
        <w:lvlJc w:val="right"/>
        <w:pPr>
          <w:ind w:left="4500" w:hanging="180"/>
        </w:pPr>
      </w:lvl>
    </w:lvlOverride>
  </w:num>
  <w:num w:numId="44" w16cid:durableId="1524201153">
    <w:abstractNumId w:val="33"/>
    <w:lvlOverride w:ilvl="0">
      <w:startOverride w:val="1"/>
      <w:lvl w:ilvl="0" w:tplc="472CF024">
        <w:start w:val="1"/>
        <w:numFmt w:val="bullet"/>
        <w:lvlText w:val=""/>
        <w:lvlJc w:val="right"/>
        <w:pPr>
          <w:ind w:left="500" w:hanging="180"/>
        </w:pPr>
        <w:rPr>
          <w:rFonts w:ascii="Symbol" w:hAnsi="Symbol" w:hint="default"/>
        </w:rPr>
      </w:lvl>
    </w:lvlOverride>
    <w:lvlOverride w:ilvl="1">
      <w:startOverride w:val="1"/>
      <w:lvl w:ilvl="1" w:tplc="3D86B8CE">
        <w:start w:val="1"/>
        <w:numFmt w:val="decimal"/>
        <w:lvlText w:val="%2."/>
        <w:lvlJc w:val="right"/>
        <w:pPr>
          <w:ind w:left="1000" w:hanging="180"/>
        </w:pPr>
      </w:lvl>
    </w:lvlOverride>
    <w:lvlOverride w:ilvl="2">
      <w:startOverride w:val="1"/>
      <w:lvl w:ilvl="2" w:tplc="449ECEDE">
        <w:start w:val="1"/>
        <w:numFmt w:val="decimal"/>
        <w:lvlText w:val="%3."/>
        <w:lvlJc w:val="right"/>
        <w:pPr>
          <w:ind w:left="1500" w:hanging="180"/>
        </w:pPr>
      </w:lvl>
    </w:lvlOverride>
    <w:lvlOverride w:ilvl="3">
      <w:startOverride w:val="1"/>
      <w:lvl w:ilvl="3" w:tplc="BBE83BBC">
        <w:start w:val="1"/>
        <w:numFmt w:val="decimal"/>
        <w:lvlText w:val="%4."/>
        <w:lvlJc w:val="right"/>
        <w:pPr>
          <w:ind w:left="2000" w:hanging="180"/>
        </w:pPr>
      </w:lvl>
    </w:lvlOverride>
    <w:lvlOverride w:ilvl="4">
      <w:startOverride w:val="1"/>
      <w:lvl w:ilvl="4" w:tplc="02001A84">
        <w:start w:val="1"/>
        <w:numFmt w:val="decimal"/>
        <w:lvlText w:val="%5."/>
        <w:lvlJc w:val="right"/>
        <w:pPr>
          <w:ind w:left="2500" w:hanging="180"/>
        </w:pPr>
      </w:lvl>
    </w:lvlOverride>
    <w:lvlOverride w:ilvl="5">
      <w:startOverride w:val="1"/>
      <w:lvl w:ilvl="5" w:tplc="9F5E8B84">
        <w:start w:val="1"/>
        <w:numFmt w:val="decimal"/>
        <w:lvlText w:val="%6."/>
        <w:lvlJc w:val="right"/>
        <w:pPr>
          <w:ind w:left="3000" w:hanging="180"/>
        </w:pPr>
      </w:lvl>
    </w:lvlOverride>
    <w:lvlOverride w:ilvl="6">
      <w:startOverride w:val="1"/>
      <w:lvl w:ilvl="6" w:tplc="E55C888E">
        <w:start w:val="1"/>
        <w:numFmt w:val="decimal"/>
        <w:lvlText w:val="%7."/>
        <w:lvlJc w:val="right"/>
        <w:pPr>
          <w:ind w:left="3500" w:hanging="180"/>
        </w:pPr>
      </w:lvl>
    </w:lvlOverride>
    <w:lvlOverride w:ilvl="7">
      <w:startOverride w:val="1"/>
      <w:lvl w:ilvl="7" w:tplc="45203552">
        <w:start w:val="1"/>
        <w:numFmt w:val="decimal"/>
        <w:lvlText w:val="%8."/>
        <w:lvlJc w:val="right"/>
        <w:pPr>
          <w:ind w:left="4000" w:hanging="180"/>
        </w:pPr>
      </w:lvl>
    </w:lvlOverride>
    <w:lvlOverride w:ilvl="8">
      <w:startOverride w:val="1"/>
      <w:lvl w:ilvl="8" w:tplc="136C800A">
        <w:start w:val="1"/>
        <w:numFmt w:val="decimal"/>
        <w:lvlText w:val="%9."/>
        <w:lvlJc w:val="right"/>
        <w:pPr>
          <w:ind w:left="4500" w:hanging="180"/>
        </w:pPr>
      </w:lvl>
    </w:lvlOverride>
  </w:num>
  <w:num w:numId="45" w16cid:durableId="1312248693">
    <w:abstractNumId w:val="8"/>
    <w:lvlOverride w:ilvl="0">
      <w:startOverride w:val="1"/>
      <w:lvl w:ilvl="0" w:tplc="23EED04E">
        <w:start w:val="1"/>
        <w:numFmt w:val="bullet"/>
        <w:lvlText w:val=""/>
        <w:lvlJc w:val="right"/>
        <w:pPr>
          <w:ind w:left="500" w:hanging="180"/>
        </w:pPr>
        <w:rPr>
          <w:rFonts w:ascii="Symbol" w:hAnsi="Symbol" w:hint="default"/>
        </w:rPr>
      </w:lvl>
    </w:lvlOverride>
    <w:lvlOverride w:ilvl="1">
      <w:startOverride w:val="1"/>
      <w:lvl w:ilvl="1" w:tplc="BC523646">
        <w:start w:val="1"/>
        <w:numFmt w:val="decimal"/>
        <w:lvlText w:val="%2."/>
        <w:lvlJc w:val="right"/>
        <w:pPr>
          <w:ind w:left="1000" w:hanging="180"/>
        </w:pPr>
      </w:lvl>
    </w:lvlOverride>
    <w:lvlOverride w:ilvl="2">
      <w:startOverride w:val="1"/>
      <w:lvl w:ilvl="2" w:tplc="A35A2E62">
        <w:start w:val="1"/>
        <w:numFmt w:val="decimal"/>
        <w:lvlText w:val="%3."/>
        <w:lvlJc w:val="right"/>
        <w:pPr>
          <w:ind w:left="1500" w:hanging="180"/>
        </w:pPr>
      </w:lvl>
    </w:lvlOverride>
    <w:lvlOverride w:ilvl="3">
      <w:startOverride w:val="1"/>
      <w:lvl w:ilvl="3" w:tplc="B63EFEBC">
        <w:start w:val="1"/>
        <w:numFmt w:val="decimal"/>
        <w:lvlText w:val="%4."/>
        <w:lvlJc w:val="right"/>
        <w:pPr>
          <w:ind w:left="2000" w:hanging="180"/>
        </w:pPr>
      </w:lvl>
    </w:lvlOverride>
    <w:lvlOverride w:ilvl="4">
      <w:startOverride w:val="1"/>
      <w:lvl w:ilvl="4" w:tplc="24A68096">
        <w:start w:val="1"/>
        <w:numFmt w:val="decimal"/>
        <w:lvlText w:val="%5."/>
        <w:lvlJc w:val="right"/>
        <w:pPr>
          <w:ind w:left="2500" w:hanging="180"/>
        </w:pPr>
      </w:lvl>
    </w:lvlOverride>
    <w:lvlOverride w:ilvl="5">
      <w:startOverride w:val="1"/>
      <w:lvl w:ilvl="5" w:tplc="5C56DF70">
        <w:start w:val="1"/>
        <w:numFmt w:val="decimal"/>
        <w:lvlText w:val="%6."/>
        <w:lvlJc w:val="right"/>
        <w:pPr>
          <w:ind w:left="3000" w:hanging="180"/>
        </w:pPr>
      </w:lvl>
    </w:lvlOverride>
    <w:lvlOverride w:ilvl="6">
      <w:startOverride w:val="1"/>
      <w:lvl w:ilvl="6" w:tplc="6A605AD0">
        <w:start w:val="1"/>
        <w:numFmt w:val="decimal"/>
        <w:lvlText w:val="%7."/>
        <w:lvlJc w:val="right"/>
        <w:pPr>
          <w:ind w:left="3500" w:hanging="180"/>
        </w:pPr>
      </w:lvl>
    </w:lvlOverride>
    <w:lvlOverride w:ilvl="7">
      <w:startOverride w:val="1"/>
      <w:lvl w:ilvl="7" w:tplc="45B81D62">
        <w:start w:val="1"/>
        <w:numFmt w:val="decimal"/>
        <w:lvlText w:val="%8."/>
        <w:lvlJc w:val="right"/>
        <w:pPr>
          <w:ind w:left="4000" w:hanging="180"/>
        </w:pPr>
      </w:lvl>
    </w:lvlOverride>
    <w:lvlOverride w:ilvl="8">
      <w:startOverride w:val="1"/>
      <w:lvl w:ilvl="8" w:tplc="A9AEE76C">
        <w:start w:val="1"/>
        <w:numFmt w:val="decimal"/>
        <w:lvlText w:val="%9."/>
        <w:lvlJc w:val="right"/>
        <w:pPr>
          <w:ind w:left="4500" w:hanging="180"/>
        </w:pPr>
      </w:lvl>
    </w:lvlOverride>
  </w:num>
  <w:num w:numId="46" w16cid:durableId="1650356190">
    <w:abstractNumId w:val="46"/>
    <w:lvlOverride w:ilvl="0">
      <w:startOverride w:val="1"/>
      <w:lvl w:ilvl="0" w:tplc="6658C7E2">
        <w:start w:val="1"/>
        <w:numFmt w:val="bullet"/>
        <w:lvlText w:val=""/>
        <w:lvlJc w:val="right"/>
        <w:pPr>
          <w:ind w:left="500" w:hanging="180"/>
        </w:pPr>
        <w:rPr>
          <w:rFonts w:ascii="Symbol" w:hAnsi="Symbol" w:hint="default"/>
        </w:rPr>
      </w:lvl>
    </w:lvlOverride>
    <w:lvlOverride w:ilvl="1">
      <w:startOverride w:val="1"/>
      <w:lvl w:ilvl="1" w:tplc="A3883F82">
        <w:start w:val="1"/>
        <w:numFmt w:val="decimal"/>
        <w:lvlText w:val="%2."/>
        <w:lvlJc w:val="right"/>
        <w:pPr>
          <w:ind w:left="1000" w:hanging="180"/>
        </w:pPr>
      </w:lvl>
    </w:lvlOverride>
    <w:lvlOverride w:ilvl="2">
      <w:startOverride w:val="1"/>
      <w:lvl w:ilvl="2" w:tplc="BBE4C6F4">
        <w:start w:val="1"/>
        <w:numFmt w:val="decimal"/>
        <w:lvlText w:val="%3."/>
        <w:lvlJc w:val="right"/>
        <w:pPr>
          <w:ind w:left="1500" w:hanging="180"/>
        </w:pPr>
      </w:lvl>
    </w:lvlOverride>
    <w:lvlOverride w:ilvl="3">
      <w:startOverride w:val="1"/>
      <w:lvl w:ilvl="3" w:tplc="14427522">
        <w:start w:val="1"/>
        <w:numFmt w:val="decimal"/>
        <w:lvlText w:val="%4."/>
        <w:lvlJc w:val="right"/>
        <w:pPr>
          <w:ind w:left="2000" w:hanging="180"/>
        </w:pPr>
      </w:lvl>
    </w:lvlOverride>
    <w:lvlOverride w:ilvl="4">
      <w:startOverride w:val="1"/>
      <w:lvl w:ilvl="4" w:tplc="FB98928E">
        <w:start w:val="1"/>
        <w:numFmt w:val="decimal"/>
        <w:lvlText w:val="%5."/>
        <w:lvlJc w:val="right"/>
        <w:pPr>
          <w:ind w:left="2500" w:hanging="180"/>
        </w:pPr>
      </w:lvl>
    </w:lvlOverride>
    <w:lvlOverride w:ilvl="5">
      <w:startOverride w:val="1"/>
      <w:lvl w:ilvl="5" w:tplc="BC94F6B2">
        <w:start w:val="1"/>
        <w:numFmt w:val="decimal"/>
        <w:lvlText w:val="%6."/>
        <w:lvlJc w:val="right"/>
        <w:pPr>
          <w:ind w:left="3000" w:hanging="180"/>
        </w:pPr>
      </w:lvl>
    </w:lvlOverride>
    <w:lvlOverride w:ilvl="6">
      <w:startOverride w:val="1"/>
      <w:lvl w:ilvl="6" w:tplc="8FE0E754">
        <w:start w:val="1"/>
        <w:numFmt w:val="decimal"/>
        <w:lvlText w:val="%7."/>
        <w:lvlJc w:val="right"/>
        <w:pPr>
          <w:ind w:left="3500" w:hanging="180"/>
        </w:pPr>
      </w:lvl>
    </w:lvlOverride>
    <w:lvlOverride w:ilvl="7">
      <w:startOverride w:val="1"/>
      <w:lvl w:ilvl="7" w:tplc="FE9E8F42">
        <w:start w:val="1"/>
        <w:numFmt w:val="decimal"/>
        <w:lvlText w:val="%8."/>
        <w:lvlJc w:val="right"/>
        <w:pPr>
          <w:ind w:left="4000" w:hanging="180"/>
        </w:pPr>
      </w:lvl>
    </w:lvlOverride>
    <w:lvlOverride w:ilvl="8">
      <w:startOverride w:val="1"/>
      <w:lvl w:ilvl="8" w:tplc="74E4E020">
        <w:start w:val="1"/>
        <w:numFmt w:val="decimal"/>
        <w:lvlText w:val="%9."/>
        <w:lvlJc w:val="right"/>
        <w:pPr>
          <w:ind w:left="4500" w:hanging="180"/>
        </w:pPr>
      </w:lvl>
    </w:lvlOverride>
  </w:num>
  <w:num w:numId="47" w16cid:durableId="712929503">
    <w:abstractNumId w:val="14"/>
    <w:lvlOverride w:ilvl="0">
      <w:startOverride w:val="1"/>
      <w:lvl w:ilvl="0" w:tplc="6B3A277C">
        <w:start w:val="1"/>
        <w:numFmt w:val="bullet"/>
        <w:lvlText w:val=""/>
        <w:lvlJc w:val="right"/>
        <w:pPr>
          <w:ind w:left="500" w:hanging="180"/>
        </w:pPr>
        <w:rPr>
          <w:rFonts w:ascii="Symbol" w:hAnsi="Symbol" w:hint="default"/>
        </w:rPr>
      </w:lvl>
    </w:lvlOverride>
    <w:lvlOverride w:ilvl="1">
      <w:startOverride w:val="1"/>
      <w:lvl w:ilvl="1" w:tplc="191A7022">
        <w:start w:val="1"/>
        <w:numFmt w:val="bullet"/>
        <w:lvlText w:val="o"/>
        <w:lvlJc w:val="right"/>
        <w:pPr>
          <w:ind w:left="1000" w:hanging="180"/>
        </w:pPr>
        <w:rPr>
          <w:rFonts w:ascii="Symbol" w:hAnsi="Symbol" w:hint="default"/>
        </w:rPr>
      </w:lvl>
    </w:lvlOverride>
    <w:lvlOverride w:ilvl="2">
      <w:startOverride w:val="1"/>
      <w:lvl w:ilvl="2" w:tplc="347E10B0">
        <w:start w:val="1"/>
        <w:numFmt w:val="decimal"/>
        <w:lvlText w:val="%3."/>
        <w:lvlJc w:val="right"/>
        <w:pPr>
          <w:ind w:left="1500" w:hanging="180"/>
        </w:pPr>
      </w:lvl>
    </w:lvlOverride>
    <w:lvlOverride w:ilvl="3">
      <w:startOverride w:val="1"/>
      <w:lvl w:ilvl="3" w:tplc="A42EE1B4">
        <w:start w:val="1"/>
        <w:numFmt w:val="decimal"/>
        <w:lvlText w:val="%4."/>
        <w:lvlJc w:val="right"/>
        <w:pPr>
          <w:ind w:left="2000" w:hanging="180"/>
        </w:pPr>
      </w:lvl>
    </w:lvlOverride>
    <w:lvlOverride w:ilvl="4">
      <w:startOverride w:val="1"/>
      <w:lvl w:ilvl="4" w:tplc="3B3852F6">
        <w:start w:val="1"/>
        <w:numFmt w:val="decimal"/>
        <w:lvlText w:val="%5."/>
        <w:lvlJc w:val="right"/>
        <w:pPr>
          <w:ind w:left="2500" w:hanging="180"/>
        </w:pPr>
      </w:lvl>
    </w:lvlOverride>
    <w:lvlOverride w:ilvl="5">
      <w:startOverride w:val="1"/>
      <w:lvl w:ilvl="5" w:tplc="28989CDC">
        <w:start w:val="1"/>
        <w:numFmt w:val="decimal"/>
        <w:lvlText w:val="%6."/>
        <w:lvlJc w:val="right"/>
        <w:pPr>
          <w:ind w:left="3000" w:hanging="180"/>
        </w:pPr>
      </w:lvl>
    </w:lvlOverride>
    <w:lvlOverride w:ilvl="6">
      <w:startOverride w:val="1"/>
      <w:lvl w:ilvl="6" w:tplc="4FF4DC66">
        <w:start w:val="1"/>
        <w:numFmt w:val="decimal"/>
        <w:lvlText w:val="%7."/>
        <w:lvlJc w:val="right"/>
        <w:pPr>
          <w:ind w:left="3500" w:hanging="180"/>
        </w:pPr>
      </w:lvl>
    </w:lvlOverride>
    <w:lvlOverride w:ilvl="7">
      <w:startOverride w:val="1"/>
      <w:lvl w:ilvl="7" w:tplc="ADD659EA">
        <w:start w:val="1"/>
        <w:numFmt w:val="decimal"/>
        <w:lvlText w:val="%8."/>
        <w:lvlJc w:val="right"/>
        <w:pPr>
          <w:ind w:left="4000" w:hanging="180"/>
        </w:pPr>
      </w:lvl>
    </w:lvlOverride>
    <w:lvlOverride w:ilvl="8">
      <w:startOverride w:val="1"/>
      <w:lvl w:ilvl="8" w:tplc="EF4E20A8">
        <w:start w:val="1"/>
        <w:numFmt w:val="decimal"/>
        <w:lvlText w:val="%9."/>
        <w:lvlJc w:val="right"/>
        <w:pPr>
          <w:ind w:left="4500" w:hanging="180"/>
        </w:pPr>
      </w:lvl>
    </w:lvlOverride>
  </w:num>
  <w:num w:numId="48" w16cid:durableId="771555606">
    <w:abstractNumId w:val="38"/>
    <w:lvlOverride w:ilvl="0">
      <w:startOverride w:val="1"/>
      <w:lvl w:ilvl="0" w:tplc="F3D4A66E">
        <w:start w:val="1"/>
        <w:numFmt w:val="bullet"/>
        <w:pStyle w:val="NumberParagraphAlpha"/>
        <w:lvlText w:val=""/>
        <w:lvlJc w:val="right"/>
        <w:pPr>
          <w:ind w:left="500" w:hanging="180"/>
        </w:pPr>
        <w:rPr>
          <w:rFonts w:ascii="Symbol" w:hAnsi="Symbol" w:hint="default"/>
        </w:rPr>
      </w:lvl>
    </w:lvlOverride>
    <w:lvlOverride w:ilvl="1">
      <w:startOverride w:val="1"/>
      <w:lvl w:ilvl="1" w:tplc="533801AE">
        <w:start w:val="1"/>
        <w:numFmt w:val="decimal"/>
        <w:lvlText w:val="%2."/>
        <w:lvlJc w:val="right"/>
        <w:pPr>
          <w:ind w:left="1000" w:hanging="180"/>
        </w:pPr>
      </w:lvl>
    </w:lvlOverride>
    <w:lvlOverride w:ilvl="2">
      <w:startOverride w:val="1"/>
      <w:lvl w:ilvl="2" w:tplc="D9FE639E">
        <w:start w:val="1"/>
        <w:numFmt w:val="decimal"/>
        <w:lvlText w:val="%3."/>
        <w:lvlJc w:val="right"/>
        <w:pPr>
          <w:ind w:left="1500" w:hanging="180"/>
        </w:pPr>
      </w:lvl>
    </w:lvlOverride>
    <w:lvlOverride w:ilvl="3">
      <w:startOverride w:val="1"/>
      <w:lvl w:ilvl="3" w:tplc="3C98F352">
        <w:start w:val="1"/>
        <w:numFmt w:val="decimal"/>
        <w:lvlText w:val="%4."/>
        <w:lvlJc w:val="right"/>
        <w:pPr>
          <w:ind w:left="2000" w:hanging="180"/>
        </w:pPr>
      </w:lvl>
    </w:lvlOverride>
    <w:lvlOverride w:ilvl="4">
      <w:startOverride w:val="1"/>
      <w:lvl w:ilvl="4" w:tplc="2C38AA34">
        <w:start w:val="1"/>
        <w:numFmt w:val="decimal"/>
        <w:lvlText w:val="%5."/>
        <w:lvlJc w:val="right"/>
        <w:pPr>
          <w:ind w:left="2500" w:hanging="180"/>
        </w:pPr>
      </w:lvl>
    </w:lvlOverride>
    <w:lvlOverride w:ilvl="5">
      <w:startOverride w:val="1"/>
      <w:lvl w:ilvl="5" w:tplc="106E9B46">
        <w:start w:val="1"/>
        <w:numFmt w:val="decimal"/>
        <w:lvlText w:val="%6."/>
        <w:lvlJc w:val="right"/>
        <w:pPr>
          <w:ind w:left="3000" w:hanging="180"/>
        </w:pPr>
      </w:lvl>
    </w:lvlOverride>
    <w:lvlOverride w:ilvl="6">
      <w:startOverride w:val="1"/>
      <w:lvl w:ilvl="6" w:tplc="574EDB1A">
        <w:start w:val="1"/>
        <w:numFmt w:val="decimal"/>
        <w:lvlText w:val="%7."/>
        <w:lvlJc w:val="right"/>
        <w:pPr>
          <w:ind w:left="3500" w:hanging="180"/>
        </w:pPr>
      </w:lvl>
    </w:lvlOverride>
    <w:lvlOverride w:ilvl="7">
      <w:startOverride w:val="1"/>
      <w:lvl w:ilvl="7" w:tplc="2CA04DDC">
        <w:start w:val="1"/>
        <w:numFmt w:val="decimal"/>
        <w:lvlText w:val="%8."/>
        <w:lvlJc w:val="right"/>
        <w:pPr>
          <w:ind w:left="4000" w:hanging="180"/>
        </w:pPr>
      </w:lvl>
    </w:lvlOverride>
    <w:lvlOverride w:ilvl="8">
      <w:startOverride w:val="1"/>
      <w:lvl w:ilvl="8" w:tplc="59A449F8">
        <w:start w:val="1"/>
        <w:numFmt w:val="decimal"/>
        <w:lvlText w:val="%9."/>
        <w:lvlJc w:val="right"/>
        <w:pPr>
          <w:ind w:left="4500" w:hanging="180"/>
        </w:pPr>
      </w:lvl>
    </w:lvlOverride>
  </w:num>
  <w:num w:numId="49" w16cid:durableId="935357945">
    <w:abstractNumId w:val="23"/>
    <w:lvlOverride w:ilvl="0">
      <w:startOverride w:val="1"/>
      <w:lvl w:ilvl="0" w:tplc="C45CAEA0">
        <w:start w:val="1"/>
        <w:numFmt w:val="bullet"/>
        <w:lvlText w:val=""/>
        <w:lvlJc w:val="right"/>
        <w:pPr>
          <w:ind w:left="500" w:hanging="180"/>
        </w:pPr>
        <w:rPr>
          <w:rFonts w:ascii="Symbol" w:hAnsi="Symbol" w:hint="default"/>
        </w:rPr>
      </w:lvl>
    </w:lvlOverride>
    <w:lvlOverride w:ilvl="1">
      <w:startOverride w:val="1"/>
      <w:lvl w:ilvl="1" w:tplc="9BEADAE8">
        <w:start w:val="1"/>
        <w:numFmt w:val="decimal"/>
        <w:lvlText w:val="%2."/>
        <w:lvlJc w:val="right"/>
        <w:pPr>
          <w:ind w:left="1000" w:hanging="180"/>
        </w:pPr>
      </w:lvl>
    </w:lvlOverride>
    <w:lvlOverride w:ilvl="2">
      <w:startOverride w:val="1"/>
      <w:lvl w:ilvl="2" w:tplc="AAFC270E">
        <w:start w:val="1"/>
        <w:numFmt w:val="decimal"/>
        <w:lvlText w:val="%3."/>
        <w:lvlJc w:val="right"/>
        <w:pPr>
          <w:ind w:left="1500" w:hanging="180"/>
        </w:pPr>
      </w:lvl>
    </w:lvlOverride>
    <w:lvlOverride w:ilvl="3">
      <w:startOverride w:val="1"/>
      <w:lvl w:ilvl="3" w:tplc="B8E6097E">
        <w:start w:val="1"/>
        <w:numFmt w:val="decimal"/>
        <w:lvlText w:val="%4."/>
        <w:lvlJc w:val="right"/>
        <w:pPr>
          <w:ind w:left="2000" w:hanging="180"/>
        </w:pPr>
      </w:lvl>
    </w:lvlOverride>
    <w:lvlOverride w:ilvl="4">
      <w:startOverride w:val="1"/>
      <w:lvl w:ilvl="4" w:tplc="6CCEB73C">
        <w:start w:val="1"/>
        <w:numFmt w:val="decimal"/>
        <w:lvlText w:val="%5."/>
        <w:lvlJc w:val="right"/>
        <w:pPr>
          <w:ind w:left="2500" w:hanging="180"/>
        </w:pPr>
      </w:lvl>
    </w:lvlOverride>
    <w:lvlOverride w:ilvl="5">
      <w:startOverride w:val="1"/>
      <w:lvl w:ilvl="5" w:tplc="F29046C8">
        <w:start w:val="1"/>
        <w:numFmt w:val="decimal"/>
        <w:lvlText w:val="%6."/>
        <w:lvlJc w:val="right"/>
        <w:pPr>
          <w:ind w:left="3000" w:hanging="180"/>
        </w:pPr>
      </w:lvl>
    </w:lvlOverride>
    <w:lvlOverride w:ilvl="6">
      <w:startOverride w:val="1"/>
      <w:lvl w:ilvl="6" w:tplc="F120D710">
        <w:start w:val="1"/>
        <w:numFmt w:val="decimal"/>
        <w:lvlText w:val="%7."/>
        <w:lvlJc w:val="right"/>
        <w:pPr>
          <w:ind w:left="3500" w:hanging="180"/>
        </w:pPr>
      </w:lvl>
    </w:lvlOverride>
    <w:lvlOverride w:ilvl="7">
      <w:startOverride w:val="1"/>
      <w:lvl w:ilvl="7" w:tplc="13E8007A">
        <w:start w:val="1"/>
        <w:numFmt w:val="decimal"/>
        <w:lvlText w:val="%8."/>
        <w:lvlJc w:val="right"/>
        <w:pPr>
          <w:ind w:left="4000" w:hanging="180"/>
        </w:pPr>
      </w:lvl>
    </w:lvlOverride>
    <w:lvlOverride w:ilvl="8">
      <w:startOverride w:val="1"/>
      <w:lvl w:ilvl="8" w:tplc="9C724264">
        <w:start w:val="1"/>
        <w:numFmt w:val="decimal"/>
        <w:lvlText w:val="%9."/>
        <w:lvlJc w:val="right"/>
        <w:pPr>
          <w:ind w:left="4500" w:hanging="180"/>
        </w:pPr>
      </w:lvl>
    </w:lvlOverride>
  </w:num>
  <w:num w:numId="50" w16cid:durableId="1689453983">
    <w:abstractNumId w:val="3"/>
    <w:lvlOverride w:ilvl="0">
      <w:startOverride w:val="1"/>
      <w:lvl w:ilvl="0" w:tplc="F4421988">
        <w:start w:val="1"/>
        <w:numFmt w:val="bullet"/>
        <w:lvlText w:val=""/>
        <w:lvlJc w:val="right"/>
        <w:pPr>
          <w:ind w:left="500" w:hanging="180"/>
        </w:pPr>
        <w:rPr>
          <w:rFonts w:ascii="Symbol" w:hAnsi="Symbol" w:hint="default"/>
        </w:rPr>
      </w:lvl>
    </w:lvlOverride>
    <w:lvlOverride w:ilvl="1">
      <w:startOverride w:val="1"/>
      <w:lvl w:ilvl="1" w:tplc="C9380FEA">
        <w:start w:val="1"/>
        <w:numFmt w:val="decimal"/>
        <w:lvlText w:val="%2."/>
        <w:lvlJc w:val="right"/>
        <w:pPr>
          <w:ind w:left="1000" w:hanging="180"/>
        </w:pPr>
      </w:lvl>
    </w:lvlOverride>
    <w:lvlOverride w:ilvl="2">
      <w:startOverride w:val="1"/>
      <w:lvl w:ilvl="2" w:tplc="E44CD60E">
        <w:start w:val="1"/>
        <w:numFmt w:val="decimal"/>
        <w:lvlText w:val="%3."/>
        <w:lvlJc w:val="right"/>
        <w:pPr>
          <w:ind w:left="1500" w:hanging="180"/>
        </w:pPr>
      </w:lvl>
    </w:lvlOverride>
    <w:lvlOverride w:ilvl="3">
      <w:startOverride w:val="1"/>
      <w:lvl w:ilvl="3" w:tplc="64B4D9D8">
        <w:start w:val="1"/>
        <w:numFmt w:val="decimal"/>
        <w:lvlText w:val="%4."/>
        <w:lvlJc w:val="right"/>
        <w:pPr>
          <w:ind w:left="2000" w:hanging="180"/>
        </w:pPr>
      </w:lvl>
    </w:lvlOverride>
    <w:lvlOverride w:ilvl="4">
      <w:startOverride w:val="1"/>
      <w:lvl w:ilvl="4" w:tplc="BBBC91B4">
        <w:start w:val="1"/>
        <w:numFmt w:val="decimal"/>
        <w:lvlText w:val="%5."/>
        <w:lvlJc w:val="right"/>
        <w:pPr>
          <w:ind w:left="2500" w:hanging="180"/>
        </w:pPr>
      </w:lvl>
    </w:lvlOverride>
    <w:lvlOverride w:ilvl="5">
      <w:startOverride w:val="1"/>
      <w:lvl w:ilvl="5" w:tplc="29249124">
        <w:start w:val="1"/>
        <w:numFmt w:val="decimal"/>
        <w:lvlText w:val="%6."/>
        <w:lvlJc w:val="right"/>
        <w:pPr>
          <w:ind w:left="3000" w:hanging="180"/>
        </w:pPr>
      </w:lvl>
    </w:lvlOverride>
    <w:lvlOverride w:ilvl="6">
      <w:startOverride w:val="1"/>
      <w:lvl w:ilvl="6" w:tplc="9DCE81BA">
        <w:start w:val="1"/>
        <w:numFmt w:val="decimal"/>
        <w:lvlText w:val="%7."/>
        <w:lvlJc w:val="right"/>
        <w:pPr>
          <w:ind w:left="3500" w:hanging="180"/>
        </w:pPr>
      </w:lvl>
    </w:lvlOverride>
    <w:lvlOverride w:ilvl="7">
      <w:startOverride w:val="1"/>
      <w:lvl w:ilvl="7" w:tplc="32AE9C56">
        <w:start w:val="1"/>
        <w:numFmt w:val="decimal"/>
        <w:lvlText w:val="%8."/>
        <w:lvlJc w:val="right"/>
        <w:pPr>
          <w:ind w:left="4000" w:hanging="180"/>
        </w:pPr>
      </w:lvl>
    </w:lvlOverride>
    <w:lvlOverride w:ilvl="8">
      <w:startOverride w:val="1"/>
      <w:lvl w:ilvl="8" w:tplc="FDC04FAE">
        <w:start w:val="1"/>
        <w:numFmt w:val="decimal"/>
        <w:lvlText w:val="%9."/>
        <w:lvlJc w:val="right"/>
        <w:pPr>
          <w:ind w:left="4500" w:hanging="180"/>
        </w:pPr>
      </w:lvl>
    </w:lvlOverride>
  </w:num>
  <w:num w:numId="51" w16cid:durableId="2135168323">
    <w:abstractNumId w:val="41"/>
    <w:lvlOverride w:ilvl="0">
      <w:startOverride w:val="1"/>
      <w:lvl w:ilvl="0" w:tplc="F2EA9244">
        <w:start w:val="1"/>
        <w:numFmt w:val="bullet"/>
        <w:lvlText w:val=""/>
        <w:lvlJc w:val="right"/>
        <w:pPr>
          <w:ind w:left="500" w:hanging="180"/>
        </w:pPr>
        <w:rPr>
          <w:rFonts w:ascii="Symbol" w:hAnsi="Symbol" w:hint="default"/>
        </w:rPr>
      </w:lvl>
    </w:lvlOverride>
    <w:lvlOverride w:ilvl="1">
      <w:startOverride w:val="1"/>
      <w:lvl w:ilvl="1" w:tplc="E4BC9866">
        <w:start w:val="1"/>
        <w:numFmt w:val="decimal"/>
        <w:lvlText w:val="%2."/>
        <w:lvlJc w:val="right"/>
        <w:pPr>
          <w:ind w:left="1000" w:hanging="180"/>
        </w:pPr>
      </w:lvl>
    </w:lvlOverride>
    <w:lvlOverride w:ilvl="2">
      <w:startOverride w:val="1"/>
      <w:lvl w:ilvl="2" w:tplc="E63C384E">
        <w:start w:val="1"/>
        <w:numFmt w:val="decimal"/>
        <w:lvlText w:val="%3."/>
        <w:lvlJc w:val="right"/>
        <w:pPr>
          <w:ind w:left="1500" w:hanging="180"/>
        </w:pPr>
      </w:lvl>
    </w:lvlOverride>
    <w:lvlOverride w:ilvl="3">
      <w:startOverride w:val="1"/>
      <w:lvl w:ilvl="3" w:tplc="92EE42FE">
        <w:start w:val="1"/>
        <w:numFmt w:val="decimal"/>
        <w:lvlText w:val="%4."/>
        <w:lvlJc w:val="right"/>
        <w:pPr>
          <w:ind w:left="2000" w:hanging="180"/>
        </w:pPr>
      </w:lvl>
    </w:lvlOverride>
    <w:lvlOverride w:ilvl="4">
      <w:startOverride w:val="1"/>
      <w:lvl w:ilvl="4" w:tplc="6584177E">
        <w:start w:val="1"/>
        <w:numFmt w:val="decimal"/>
        <w:lvlText w:val="%5."/>
        <w:lvlJc w:val="right"/>
        <w:pPr>
          <w:ind w:left="2500" w:hanging="180"/>
        </w:pPr>
      </w:lvl>
    </w:lvlOverride>
    <w:lvlOverride w:ilvl="5">
      <w:startOverride w:val="1"/>
      <w:lvl w:ilvl="5" w:tplc="7CFA118A">
        <w:start w:val="1"/>
        <w:numFmt w:val="decimal"/>
        <w:lvlText w:val="%6."/>
        <w:lvlJc w:val="right"/>
        <w:pPr>
          <w:ind w:left="3000" w:hanging="180"/>
        </w:pPr>
      </w:lvl>
    </w:lvlOverride>
    <w:lvlOverride w:ilvl="6">
      <w:startOverride w:val="1"/>
      <w:lvl w:ilvl="6" w:tplc="56D808D0">
        <w:start w:val="1"/>
        <w:numFmt w:val="decimal"/>
        <w:lvlText w:val="%7."/>
        <w:lvlJc w:val="right"/>
        <w:pPr>
          <w:ind w:left="3500" w:hanging="180"/>
        </w:pPr>
      </w:lvl>
    </w:lvlOverride>
    <w:lvlOverride w:ilvl="7">
      <w:startOverride w:val="1"/>
      <w:lvl w:ilvl="7" w:tplc="71E49416">
        <w:start w:val="1"/>
        <w:numFmt w:val="decimal"/>
        <w:lvlText w:val="%8."/>
        <w:lvlJc w:val="right"/>
        <w:pPr>
          <w:ind w:left="4000" w:hanging="180"/>
        </w:pPr>
      </w:lvl>
    </w:lvlOverride>
    <w:lvlOverride w:ilvl="8">
      <w:startOverride w:val="1"/>
      <w:lvl w:ilvl="8" w:tplc="9AD43F3E">
        <w:start w:val="1"/>
        <w:numFmt w:val="decimal"/>
        <w:lvlText w:val="%9."/>
        <w:lvlJc w:val="right"/>
        <w:pPr>
          <w:ind w:left="4500" w:hanging="180"/>
        </w:pPr>
      </w:lvl>
    </w:lvlOverride>
  </w:num>
  <w:num w:numId="52" w16cid:durableId="980578254">
    <w:abstractNumId w:val="22"/>
    <w:lvlOverride w:ilvl="0">
      <w:startOverride w:val="1"/>
      <w:lvl w:ilvl="0" w:tplc="DBC6ED74">
        <w:start w:val="1"/>
        <w:numFmt w:val="bullet"/>
        <w:lvlText w:val=""/>
        <w:lvlJc w:val="right"/>
        <w:pPr>
          <w:ind w:left="500" w:hanging="180"/>
        </w:pPr>
        <w:rPr>
          <w:rFonts w:ascii="Symbol" w:hAnsi="Symbol" w:hint="default"/>
        </w:rPr>
      </w:lvl>
    </w:lvlOverride>
    <w:lvlOverride w:ilvl="1">
      <w:startOverride w:val="1"/>
      <w:lvl w:ilvl="1" w:tplc="1A3CE340">
        <w:start w:val="1"/>
        <w:numFmt w:val="bullet"/>
        <w:lvlText w:val="o"/>
        <w:lvlJc w:val="right"/>
        <w:pPr>
          <w:ind w:left="1000" w:hanging="180"/>
        </w:pPr>
        <w:rPr>
          <w:rFonts w:ascii="Symbol" w:hAnsi="Symbol" w:hint="default"/>
        </w:rPr>
      </w:lvl>
    </w:lvlOverride>
    <w:lvlOverride w:ilvl="2">
      <w:startOverride w:val="1"/>
      <w:lvl w:ilvl="2" w:tplc="D0E2EDDE">
        <w:start w:val="1"/>
        <w:numFmt w:val="decimal"/>
        <w:lvlText w:val="%3."/>
        <w:lvlJc w:val="right"/>
        <w:pPr>
          <w:ind w:left="1500" w:hanging="180"/>
        </w:pPr>
      </w:lvl>
    </w:lvlOverride>
    <w:lvlOverride w:ilvl="3">
      <w:startOverride w:val="1"/>
      <w:lvl w:ilvl="3" w:tplc="EA323D28">
        <w:start w:val="1"/>
        <w:numFmt w:val="decimal"/>
        <w:lvlText w:val="%4."/>
        <w:lvlJc w:val="right"/>
        <w:pPr>
          <w:ind w:left="2000" w:hanging="180"/>
        </w:pPr>
      </w:lvl>
    </w:lvlOverride>
    <w:lvlOverride w:ilvl="4">
      <w:startOverride w:val="1"/>
      <w:lvl w:ilvl="4" w:tplc="890AA8E0">
        <w:start w:val="1"/>
        <w:numFmt w:val="decimal"/>
        <w:lvlText w:val="%5."/>
        <w:lvlJc w:val="right"/>
        <w:pPr>
          <w:ind w:left="2500" w:hanging="180"/>
        </w:pPr>
      </w:lvl>
    </w:lvlOverride>
    <w:lvlOverride w:ilvl="5">
      <w:startOverride w:val="1"/>
      <w:lvl w:ilvl="5" w:tplc="3E522D7A">
        <w:start w:val="1"/>
        <w:numFmt w:val="decimal"/>
        <w:lvlText w:val="%6."/>
        <w:lvlJc w:val="right"/>
        <w:pPr>
          <w:ind w:left="3000" w:hanging="180"/>
        </w:pPr>
      </w:lvl>
    </w:lvlOverride>
    <w:lvlOverride w:ilvl="6">
      <w:startOverride w:val="1"/>
      <w:lvl w:ilvl="6" w:tplc="01ACA018">
        <w:start w:val="1"/>
        <w:numFmt w:val="decimal"/>
        <w:lvlText w:val="%7."/>
        <w:lvlJc w:val="right"/>
        <w:pPr>
          <w:ind w:left="3500" w:hanging="180"/>
        </w:pPr>
      </w:lvl>
    </w:lvlOverride>
    <w:lvlOverride w:ilvl="7">
      <w:startOverride w:val="1"/>
      <w:lvl w:ilvl="7" w:tplc="2F925DCE">
        <w:start w:val="1"/>
        <w:numFmt w:val="decimal"/>
        <w:lvlText w:val="%8."/>
        <w:lvlJc w:val="right"/>
        <w:pPr>
          <w:ind w:left="4000" w:hanging="180"/>
        </w:pPr>
      </w:lvl>
    </w:lvlOverride>
    <w:lvlOverride w:ilvl="8">
      <w:startOverride w:val="1"/>
      <w:lvl w:ilvl="8" w:tplc="39B42136">
        <w:start w:val="1"/>
        <w:numFmt w:val="decimal"/>
        <w:lvlText w:val="%9."/>
        <w:lvlJc w:val="right"/>
        <w:pPr>
          <w:ind w:left="4500" w:hanging="180"/>
        </w:pPr>
      </w:lvl>
    </w:lvlOverride>
  </w:num>
  <w:num w:numId="53" w16cid:durableId="1540388881">
    <w:abstractNumId w:val="3"/>
    <w:lvlOverride w:ilvl="0">
      <w:startOverride w:val="1"/>
      <w:lvl w:ilvl="0" w:tplc="F4421988">
        <w:start w:val="1"/>
        <w:numFmt w:val="bullet"/>
        <w:lvlText w:val=""/>
        <w:lvlJc w:val="right"/>
        <w:pPr>
          <w:ind w:left="500" w:hanging="180"/>
        </w:pPr>
        <w:rPr>
          <w:rFonts w:ascii="Symbol" w:hAnsi="Symbol" w:hint="default"/>
        </w:rPr>
      </w:lvl>
    </w:lvlOverride>
    <w:lvlOverride w:ilvl="1">
      <w:startOverride w:val="1"/>
      <w:lvl w:ilvl="1" w:tplc="C9380FEA">
        <w:start w:val="1"/>
        <w:numFmt w:val="decimal"/>
        <w:lvlText w:val="%2."/>
        <w:lvlJc w:val="right"/>
        <w:pPr>
          <w:ind w:left="1000" w:hanging="180"/>
        </w:pPr>
      </w:lvl>
    </w:lvlOverride>
    <w:lvlOverride w:ilvl="2">
      <w:startOverride w:val="1"/>
      <w:lvl w:ilvl="2" w:tplc="E44CD60E">
        <w:start w:val="1"/>
        <w:numFmt w:val="decimal"/>
        <w:lvlText w:val="%3."/>
        <w:lvlJc w:val="right"/>
        <w:pPr>
          <w:ind w:left="1500" w:hanging="180"/>
        </w:pPr>
      </w:lvl>
    </w:lvlOverride>
    <w:lvlOverride w:ilvl="3">
      <w:startOverride w:val="1"/>
      <w:lvl w:ilvl="3" w:tplc="64B4D9D8">
        <w:start w:val="1"/>
        <w:numFmt w:val="decimal"/>
        <w:lvlText w:val="%4."/>
        <w:lvlJc w:val="right"/>
        <w:pPr>
          <w:ind w:left="2000" w:hanging="180"/>
        </w:pPr>
      </w:lvl>
    </w:lvlOverride>
    <w:lvlOverride w:ilvl="4">
      <w:startOverride w:val="1"/>
      <w:lvl w:ilvl="4" w:tplc="BBBC91B4">
        <w:start w:val="1"/>
        <w:numFmt w:val="decimal"/>
        <w:lvlText w:val="%5."/>
        <w:lvlJc w:val="right"/>
        <w:pPr>
          <w:ind w:left="2500" w:hanging="180"/>
        </w:pPr>
      </w:lvl>
    </w:lvlOverride>
    <w:lvlOverride w:ilvl="5">
      <w:startOverride w:val="1"/>
      <w:lvl w:ilvl="5" w:tplc="29249124">
        <w:start w:val="1"/>
        <w:numFmt w:val="decimal"/>
        <w:lvlText w:val="%6."/>
        <w:lvlJc w:val="right"/>
        <w:pPr>
          <w:ind w:left="3000" w:hanging="180"/>
        </w:pPr>
      </w:lvl>
    </w:lvlOverride>
    <w:lvlOverride w:ilvl="6">
      <w:startOverride w:val="1"/>
      <w:lvl w:ilvl="6" w:tplc="9DCE81BA">
        <w:start w:val="1"/>
        <w:numFmt w:val="decimal"/>
        <w:lvlText w:val="%7."/>
        <w:lvlJc w:val="right"/>
        <w:pPr>
          <w:ind w:left="3500" w:hanging="180"/>
        </w:pPr>
      </w:lvl>
    </w:lvlOverride>
    <w:lvlOverride w:ilvl="7">
      <w:startOverride w:val="1"/>
      <w:lvl w:ilvl="7" w:tplc="32AE9C56">
        <w:start w:val="1"/>
        <w:numFmt w:val="decimal"/>
        <w:lvlText w:val="%8."/>
        <w:lvlJc w:val="right"/>
        <w:pPr>
          <w:ind w:left="4000" w:hanging="180"/>
        </w:pPr>
      </w:lvl>
    </w:lvlOverride>
    <w:lvlOverride w:ilvl="8">
      <w:startOverride w:val="1"/>
      <w:lvl w:ilvl="8" w:tplc="FDC04FAE">
        <w:start w:val="1"/>
        <w:numFmt w:val="decimal"/>
        <w:lvlText w:val="%9."/>
        <w:lvlJc w:val="right"/>
        <w:pPr>
          <w:ind w:left="4500" w:hanging="180"/>
        </w:pPr>
      </w:lvl>
    </w:lvlOverride>
  </w:num>
  <w:num w:numId="54" w16cid:durableId="1734549741">
    <w:abstractNumId w:val="17"/>
    <w:lvlOverride w:ilvl="0">
      <w:startOverride w:val="1"/>
      <w:lvl w:ilvl="0" w:tplc="3AAEA266">
        <w:start w:val="1"/>
        <w:numFmt w:val="bullet"/>
        <w:lvlText w:val=""/>
        <w:lvlJc w:val="right"/>
        <w:pPr>
          <w:ind w:left="500" w:hanging="180"/>
        </w:pPr>
        <w:rPr>
          <w:rFonts w:ascii="Symbol" w:hAnsi="Symbol" w:hint="default"/>
        </w:rPr>
      </w:lvl>
    </w:lvlOverride>
    <w:lvlOverride w:ilvl="1">
      <w:startOverride w:val="1"/>
      <w:lvl w:ilvl="1" w:tplc="ACE43E92">
        <w:start w:val="1"/>
        <w:numFmt w:val="decimal"/>
        <w:lvlText w:val="%2."/>
        <w:lvlJc w:val="right"/>
        <w:pPr>
          <w:ind w:left="1000" w:hanging="180"/>
        </w:pPr>
      </w:lvl>
    </w:lvlOverride>
    <w:lvlOverride w:ilvl="2">
      <w:startOverride w:val="1"/>
      <w:lvl w:ilvl="2" w:tplc="D2BAAFAC">
        <w:start w:val="1"/>
        <w:numFmt w:val="decimal"/>
        <w:lvlText w:val="%3."/>
        <w:lvlJc w:val="right"/>
        <w:pPr>
          <w:ind w:left="1500" w:hanging="180"/>
        </w:pPr>
      </w:lvl>
    </w:lvlOverride>
    <w:lvlOverride w:ilvl="3">
      <w:startOverride w:val="1"/>
      <w:lvl w:ilvl="3" w:tplc="FFAE746A">
        <w:start w:val="1"/>
        <w:numFmt w:val="decimal"/>
        <w:lvlText w:val="%4."/>
        <w:lvlJc w:val="right"/>
        <w:pPr>
          <w:ind w:left="2000" w:hanging="180"/>
        </w:pPr>
      </w:lvl>
    </w:lvlOverride>
    <w:lvlOverride w:ilvl="4">
      <w:startOverride w:val="1"/>
      <w:lvl w:ilvl="4" w:tplc="870C5A22">
        <w:start w:val="1"/>
        <w:numFmt w:val="decimal"/>
        <w:lvlText w:val="%5."/>
        <w:lvlJc w:val="right"/>
        <w:pPr>
          <w:ind w:left="2500" w:hanging="180"/>
        </w:pPr>
      </w:lvl>
    </w:lvlOverride>
    <w:lvlOverride w:ilvl="5">
      <w:startOverride w:val="1"/>
      <w:lvl w:ilvl="5" w:tplc="5532DB56">
        <w:start w:val="1"/>
        <w:numFmt w:val="decimal"/>
        <w:lvlText w:val="%6."/>
        <w:lvlJc w:val="right"/>
        <w:pPr>
          <w:ind w:left="3000" w:hanging="180"/>
        </w:pPr>
      </w:lvl>
    </w:lvlOverride>
    <w:lvlOverride w:ilvl="6">
      <w:startOverride w:val="1"/>
      <w:lvl w:ilvl="6" w:tplc="14EC055A">
        <w:start w:val="1"/>
        <w:numFmt w:val="decimal"/>
        <w:lvlText w:val="%7."/>
        <w:lvlJc w:val="right"/>
        <w:pPr>
          <w:ind w:left="3500" w:hanging="180"/>
        </w:pPr>
      </w:lvl>
    </w:lvlOverride>
    <w:lvlOverride w:ilvl="7">
      <w:startOverride w:val="1"/>
      <w:lvl w:ilvl="7" w:tplc="B9FA4174">
        <w:start w:val="1"/>
        <w:numFmt w:val="decimal"/>
        <w:lvlText w:val="%8."/>
        <w:lvlJc w:val="right"/>
        <w:pPr>
          <w:ind w:left="4000" w:hanging="180"/>
        </w:pPr>
      </w:lvl>
    </w:lvlOverride>
    <w:lvlOverride w:ilvl="8">
      <w:startOverride w:val="1"/>
      <w:lvl w:ilvl="8" w:tplc="737A986C">
        <w:start w:val="1"/>
        <w:numFmt w:val="decimal"/>
        <w:lvlText w:val="%9."/>
        <w:lvlJc w:val="right"/>
        <w:pPr>
          <w:ind w:left="4500" w:hanging="180"/>
        </w:pPr>
      </w:lvl>
    </w:lvlOverride>
  </w:num>
  <w:num w:numId="55" w16cid:durableId="743335955">
    <w:abstractNumId w:val="17"/>
    <w:lvlOverride w:ilvl="0">
      <w:startOverride w:val="1"/>
      <w:lvl w:ilvl="0" w:tplc="3AAEA266">
        <w:start w:val="1"/>
        <w:numFmt w:val="bullet"/>
        <w:lvlText w:val=""/>
        <w:lvlJc w:val="right"/>
        <w:pPr>
          <w:ind w:left="500" w:hanging="180"/>
        </w:pPr>
        <w:rPr>
          <w:rFonts w:ascii="Symbol" w:hAnsi="Symbol" w:hint="default"/>
        </w:rPr>
      </w:lvl>
    </w:lvlOverride>
    <w:lvlOverride w:ilvl="1">
      <w:startOverride w:val="1"/>
      <w:lvl w:ilvl="1" w:tplc="ACE43E92">
        <w:start w:val="1"/>
        <w:numFmt w:val="bullet"/>
        <w:lvlText w:val="o"/>
        <w:lvlJc w:val="right"/>
        <w:pPr>
          <w:ind w:left="1000" w:hanging="180"/>
        </w:pPr>
        <w:rPr>
          <w:rFonts w:ascii="Symbol" w:hAnsi="Symbol" w:hint="default"/>
        </w:rPr>
      </w:lvl>
    </w:lvlOverride>
    <w:lvlOverride w:ilvl="2">
      <w:startOverride w:val="1"/>
      <w:lvl w:ilvl="2" w:tplc="D2BAAFAC">
        <w:start w:val="1"/>
        <w:numFmt w:val="decimal"/>
        <w:lvlText w:val="%3."/>
        <w:lvlJc w:val="right"/>
        <w:pPr>
          <w:ind w:left="1500" w:hanging="180"/>
        </w:pPr>
      </w:lvl>
    </w:lvlOverride>
    <w:lvlOverride w:ilvl="3">
      <w:startOverride w:val="1"/>
      <w:lvl w:ilvl="3" w:tplc="FFAE746A">
        <w:start w:val="1"/>
        <w:numFmt w:val="decimal"/>
        <w:lvlText w:val="%4."/>
        <w:lvlJc w:val="right"/>
        <w:pPr>
          <w:ind w:left="2000" w:hanging="180"/>
        </w:pPr>
      </w:lvl>
    </w:lvlOverride>
    <w:lvlOverride w:ilvl="4">
      <w:startOverride w:val="1"/>
      <w:lvl w:ilvl="4" w:tplc="870C5A22">
        <w:start w:val="1"/>
        <w:numFmt w:val="decimal"/>
        <w:lvlText w:val="%5."/>
        <w:lvlJc w:val="right"/>
        <w:pPr>
          <w:ind w:left="2500" w:hanging="180"/>
        </w:pPr>
      </w:lvl>
    </w:lvlOverride>
    <w:lvlOverride w:ilvl="5">
      <w:startOverride w:val="1"/>
      <w:lvl w:ilvl="5" w:tplc="5532DB56">
        <w:start w:val="1"/>
        <w:numFmt w:val="decimal"/>
        <w:lvlText w:val="%6."/>
        <w:lvlJc w:val="right"/>
        <w:pPr>
          <w:ind w:left="3000" w:hanging="180"/>
        </w:pPr>
      </w:lvl>
    </w:lvlOverride>
    <w:lvlOverride w:ilvl="6">
      <w:startOverride w:val="1"/>
      <w:lvl w:ilvl="6" w:tplc="14EC055A">
        <w:start w:val="1"/>
        <w:numFmt w:val="decimal"/>
        <w:lvlText w:val="%7."/>
        <w:lvlJc w:val="right"/>
        <w:pPr>
          <w:ind w:left="3500" w:hanging="180"/>
        </w:pPr>
      </w:lvl>
    </w:lvlOverride>
    <w:lvlOverride w:ilvl="7">
      <w:startOverride w:val="1"/>
      <w:lvl w:ilvl="7" w:tplc="B9FA4174">
        <w:start w:val="1"/>
        <w:numFmt w:val="decimal"/>
        <w:lvlText w:val="%8."/>
        <w:lvlJc w:val="right"/>
        <w:pPr>
          <w:ind w:left="4000" w:hanging="180"/>
        </w:pPr>
      </w:lvl>
    </w:lvlOverride>
    <w:lvlOverride w:ilvl="8">
      <w:startOverride w:val="1"/>
      <w:lvl w:ilvl="8" w:tplc="737A986C">
        <w:start w:val="1"/>
        <w:numFmt w:val="decimal"/>
        <w:lvlText w:val="%9."/>
        <w:lvlJc w:val="right"/>
        <w:pPr>
          <w:ind w:left="4500" w:hanging="180"/>
        </w:pPr>
      </w:lvl>
    </w:lvlOverride>
  </w:num>
  <w:num w:numId="56" w16cid:durableId="388575586">
    <w:abstractNumId w:val="18"/>
    <w:lvlOverride w:ilvl="0">
      <w:startOverride w:val="1"/>
      <w:lvl w:ilvl="0" w:tplc="96EEAE6E">
        <w:start w:val="1"/>
        <w:numFmt w:val="bullet"/>
        <w:lvlText w:val=""/>
        <w:lvlJc w:val="right"/>
        <w:pPr>
          <w:ind w:left="500" w:hanging="180"/>
        </w:pPr>
        <w:rPr>
          <w:rFonts w:ascii="Symbol" w:hAnsi="Symbol" w:hint="default"/>
        </w:rPr>
      </w:lvl>
    </w:lvlOverride>
    <w:lvlOverride w:ilvl="1">
      <w:startOverride w:val="1"/>
      <w:lvl w:ilvl="1" w:tplc="5A2A8F1A">
        <w:start w:val="1"/>
        <w:numFmt w:val="decimal"/>
        <w:lvlText w:val="%2."/>
        <w:lvlJc w:val="right"/>
        <w:pPr>
          <w:ind w:left="1000" w:hanging="180"/>
        </w:pPr>
      </w:lvl>
    </w:lvlOverride>
    <w:lvlOverride w:ilvl="2">
      <w:startOverride w:val="1"/>
      <w:lvl w:ilvl="2" w:tplc="5C3619D2">
        <w:start w:val="1"/>
        <w:numFmt w:val="decimal"/>
        <w:lvlText w:val="%3."/>
        <w:lvlJc w:val="right"/>
        <w:pPr>
          <w:ind w:left="1500" w:hanging="180"/>
        </w:pPr>
      </w:lvl>
    </w:lvlOverride>
    <w:lvlOverride w:ilvl="3">
      <w:startOverride w:val="1"/>
      <w:lvl w:ilvl="3" w:tplc="F99692EE">
        <w:start w:val="1"/>
        <w:numFmt w:val="decimal"/>
        <w:lvlText w:val="%4."/>
        <w:lvlJc w:val="right"/>
        <w:pPr>
          <w:ind w:left="2000" w:hanging="180"/>
        </w:pPr>
      </w:lvl>
    </w:lvlOverride>
    <w:lvlOverride w:ilvl="4">
      <w:startOverride w:val="1"/>
      <w:lvl w:ilvl="4" w:tplc="3B047800">
        <w:start w:val="1"/>
        <w:numFmt w:val="decimal"/>
        <w:lvlText w:val="%5."/>
        <w:lvlJc w:val="right"/>
        <w:pPr>
          <w:ind w:left="2500" w:hanging="180"/>
        </w:pPr>
      </w:lvl>
    </w:lvlOverride>
    <w:lvlOverride w:ilvl="5">
      <w:startOverride w:val="1"/>
      <w:lvl w:ilvl="5" w:tplc="093C98A8">
        <w:start w:val="1"/>
        <w:numFmt w:val="decimal"/>
        <w:lvlText w:val="%6."/>
        <w:lvlJc w:val="right"/>
        <w:pPr>
          <w:ind w:left="3000" w:hanging="180"/>
        </w:pPr>
      </w:lvl>
    </w:lvlOverride>
    <w:lvlOverride w:ilvl="6">
      <w:startOverride w:val="1"/>
      <w:lvl w:ilvl="6" w:tplc="01EC045E">
        <w:start w:val="1"/>
        <w:numFmt w:val="decimal"/>
        <w:lvlText w:val="%7."/>
        <w:lvlJc w:val="right"/>
        <w:pPr>
          <w:ind w:left="3500" w:hanging="180"/>
        </w:pPr>
      </w:lvl>
    </w:lvlOverride>
    <w:lvlOverride w:ilvl="7">
      <w:startOverride w:val="1"/>
      <w:lvl w:ilvl="7" w:tplc="E6D65300">
        <w:start w:val="1"/>
        <w:numFmt w:val="decimal"/>
        <w:lvlText w:val="%8."/>
        <w:lvlJc w:val="right"/>
        <w:pPr>
          <w:ind w:left="4000" w:hanging="180"/>
        </w:pPr>
      </w:lvl>
    </w:lvlOverride>
    <w:lvlOverride w:ilvl="8">
      <w:startOverride w:val="1"/>
      <w:lvl w:ilvl="8" w:tplc="B56EC1FE">
        <w:start w:val="1"/>
        <w:numFmt w:val="decimal"/>
        <w:lvlText w:val="%9."/>
        <w:lvlJc w:val="right"/>
        <w:pPr>
          <w:ind w:left="4500" w:hanging="180"/>
        </w:pPr>
      </w:lvl>
    </w:lvlOverride>
  </w:num>
  <w:num w:numId="57" w16cid:durableId="1452162467">
    <w:abstractNumId w:val="25"/>
    <w:lvlOverride w:ilvl="0">
      <w:startOverride w:val="1"/>
      <w:lvl w:ilvl="0" w:tplc="580AE3B8">
        <w:start w:val="1"/>
        <w:numFmt w:val="bullet"/>
        <w:lvlText w:val=""/>
        <w:lvlJc w:val="right"/>
        <w:pPr>
          <w:ind w:left="500" w:hanging="180"/>
        </w:pPr>
        <w:rPr>
          <w:rFonts w:ascii="Symbol" w:hAnsi="Symbol" w:hint="default"/>
        </w:rPr>
      </w:lvl>
    </w:lvlOverride>
    <w:lvlOverride w:ilvl="1">
      <w:startOverride w:val="1"/>
      <w:lvl w:ilvl="1" w:tplc="8EBEABBC">
        <w:start w:val="1"/>
        <w:numFmt w:val="decimal"/>
        <w:lvlText w:val="%2."/>
        <w:lvlJc w:val="right"/>
        <w:pPr>
          <w:ind w:left="1000" w:hanging="180"/>
        </w:pPr>
      </w:lvl>
    </w:lvlOverride>
    <w:lvlOverride w:ilvl="2">
      <w:startOverride w:val="1"/>
      <w:lvl w:ilvl="2" w:tplc="DADA69D4">
        <w:start w:val="1"/>
        <w:numFmt w:val="decimal"/>
        <w:lvlText w:val="%3."/>
        <w:lvlJc w:val="right"/>
        <w:pPr>
          <w:ind w:left="1500" w:hanging="180"/>
        </w:pPr>
      </w:lvl>
    </w:lvlOverride>
    <w:lvlOverride w:ilvl="3">
      <w:startOverride w:val="1"/>
      <w:lvl w:ilvl="3" w:tplc="8B20AD5A">
        <w:start w:val="1"/>
        <w:numFmt w:val="decimal"/>
        <w:lvlText w:val="%4."/>
        <w:lvlJc w:val="right"/>
        <w:pPr>
          <w:ind w:left="2000" w:hanging="180"/>
        </w:pPr>
      </w:lvl>
    </w:lvlOverride>
    <w:lvlOverride w:ilvl="4">
      <w:startOverride w:val="1"/>
      <w:lvl w:ilvl="4" w:tplc="0A76AD92">
        <w:start w:val="1"/>
        <w:numFmt w:val="decimal"/>
        <w:lvlText w:val="%5."/>
        <w:lvlJc w:val="right"/>
        <w:pPr>
          <w:ind w:left="2500" w:hanging="180"/>
        </w:pPr>
      </w:lvl>
    </w:lvlOverride>
    <w:lvlOverride w:ilvl="5">
      <w:startOverride w:val="1"/>
      <w:lvl w:ilvl="5" w:tplc="37AC09AE">
        <w:start w:val="1"/>
        <w:numFmt w:val="decimal"/>
        <w:lvlText w:val="%6."/>
        <w:lvlJc w:val="right"/>
        <w:pPr>
          <w:ind w:left="3000" w:hanging="180"/>
        </w:pPr>
      </w:lvl>
    </w:lvlOverride>
    <w:lvlOverride w:ilvl="6">
      <w:startOverride w:val="1"/>
      <w:lvl w:ilvl="6" w:tplc="B41AF146">
        <w:start w:val="1"/>
        <w:numFmt w:val="decimal"/>
        <w:lvlText w:val="%7."/>
        <w:lvlJc w:val="right"/>
        <w:pPr>
          <w:ind w:left="3500" w:hanging="180"/>
        </w:pPr>
      </w:lvl>
    </w:lvlOverride>
    <w:lvlOverride w:ilvl="7">
      <w:startOverride w:val="1"/>
      <w:lvl w:ilvl="7" w:tplc="C0448A92">
        <w:start w:val="1"/>
        <w:numFmt w:val="decimal"/>
        <w:lvlText w:val="%8."/>
        <w:lvlJc w:val="right"/>
        <w:pPr>
          <w:ind w:left="4000" w:hanging="180"/>
        </w:pPr>
      </w:lvl>
    </w:lvlOverride>
    <w:lvlOverride w:ilvl="8">
      <w:startOverride w:val="1"/>
      <w:lvl w:ilvl="8" w:tplc="A05A128A">
        <w:start w:val="1"/>
        <w:numFmt w:val="decimal"/>
        <w:lvlText w:val="%9."/>
        <w:lvlJc w:val="right"/>
        <w:pPr>
          <w:ind w:left="4500" w:hanging="180"/>
        </w:p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6AEE"/>
    <w:rsid w:val="0005773C"/>
    <w:rsid w:val="00061BF5"/>
    <w:rsid w:val="0006290B"/>
    <w:rsid w:val="00090261"/>
    <w:rsid w:val="00096805"/>
    <w:rsid w:val="000A0D11"/>
    <w:rsid w:val="000A3060"/>
    <w:rsid w:val="000A6CAA"/>
    <w:rsid w:val="000C3EDA"/>
    <w:rsid w:val="000E2E43"/>
    <w:rsid w:val="000E6F9C"/>
    <w:rsid w:val="000F7AA1"/>
    <w:rsid w:val="001069DC"/>
    <w:rsid w:val="00112F79"/>
    <w:rsid w:val="00121C60"/>
    <w:rsid w:val="00132830"/>
    <w:rsid w:val="00157D88"/>
    <w:rsid w:val="00176D31"/>
    <w:rsid w:val="00183F41"/>
    <w:rsid w:val="00190023"/>
    <w:rsid w:val="0019391F"/>
    <w:rsid w:val="00195576"/>
    <w:rsid w:val="001A2AE5"/>
    <w:rsid w:val="001A53A7"/>
    <w:rsid w:val="001A720F"/>
    <w:rsid w:val="001A7A4B"/>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A38F8"/>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372DB"/>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913837"/>
    <w:rsid w:val="00927C5C"/>
    <w:rsid w:val="00942474"/>
    <w:rsid w:val="00942B6D"/>
    <w:rsid w:val="009449AD"/>
    <w:rsid w:val="00953FBF"/>
    <w:rsid w:val="00962170"/>
    <w:rsid w:val="0096460C"/>
    <w:rsid w:val="00971EEB"/>
    <w:rsid w:val="0097614A"/>
    <w:rsid w:val="009B0D2E"/>
    <w:rsid w:val="009B4EF5"/>
    <w:rsid w:val="009C4EFF"/>
    <w:rsid w:val="009E7A2D"/>
    <w:rsid w:val="009F18BE"/>
    <w:rsid w:val="009F3DD6"/>
    <w:rsid w:val="009F7A50"/>
    <w:rsid w:val="00A00CB7"/>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67E23"/>
    <w:rsid w:val="00CA4B69"/>
    <w:rsid w:val="00CB5BEB"/>
    <w:rsid w:val="00CB78AF"/>
    <w:rsid w:val="00CD4570"/>
    <w:rsid w:val="00CE765E"/>
    <w:rsid w:val="00CF7FC8"/>
    <w:rsid w:val="00D10FD8"/>
    <w:rsid w:val="00D162FC"/>
    <w:rsid w:val="00D177EE"/>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3EAE"/>
    <w:rsid w:val="00F37A29"/>
    <w:rsid w:val="00F40A5D"/>
    <w:rsid w:val="00F54918"/>
    <w:rsid w:val="00F95873"/>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89B4A"/>
  <w15:docId w15:val="{ABD86635-A059-4B2D-9D3B-9DC89416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A"/>
    <w:pPr>
      <w:jc w:val="both"/>
    </w:pPr>
    <w:rPr>
      <w:rFonts w:ascii="Times New Roman" w:hAnsi="Times New Roman"/>
      <w:sz w:val="24"/>
    </w:rPr>
  </w:style>
  <w:style w:type="paragraph" w:styleId="Titre1">
    <w:name w:val="heading 1"/>
    <w:basedOn w:val="Normal"/>
    <w:next w:val="Normal"/>
    <w:link w:val="Titre1Car"/>
    <w:uiPriority w:val="9"/>
    <w:qFormat/>
    <w:rsid w:val="00953FBF"/>
    <w:pPr>
      <w:keepNext/>
      <w:keepLines/>
      <w:spacing w:before="480"/>
      <w:outlineLvl w:val="0"/>
    </w:pPr>
    <w:rPr>
      <w:rFonts w:eastAsiaTheme="majorEastAsia" w:cs="Times New Roman"/>
      <w:b/>
      <w:bCs/>
      <w:sz w:val="28"/>
      <w:szCs w:val="32"/>
    </w:rPr>
  </w:style>
  <w:style w:type="paragraph" w:styleId="Titre2">
    <w:name w:val="heading 2"/>
    <w:basedOn w:val="Normal"/>
    <w:next w:val="Normal"/>
    <w:link w:val="Titre2C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Titre3">
    <w:name w:val="heading 3"/>
    <w:basedOn w:val="Normal"/>
    <w:next w:val="Normal"/>
    <w:link w:val="Titre3Car"/>
    <w:uiPriority w:val="9"/>
    <w:unhideWhenUsed/>
    <w:qFormat/>
    <w:rsid w:val="006414B6"/>
    <w:pPr>
      <w:keepNext/>
      <w:keepLines/>
      <w:spacing w:before="200" w:after="0"/>
      <w:outlineLvl w:val="2"/>
    </w:pPr>
    <w:rPr>
      <w:rFonts w:eastAsiaTheme="majorEastAsia" w:cs="Times New Roman"/>
      <w:b/>
      <w:bCs/>
      <w:sz w:val="28"/>
      <w:szCs w:val="28"/>
    </w:rPr>
  </w:style>
  <w:style w:type="paragraph" w:styleId="Titre4">
    <w:name w:val="heading 4"/>
    <w:basedOn w:val="Normal"/>
    <w:next w:val="Normal"/>
    <w:link w:val="Titre4C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Policepardfaut"/>
    <w:link w:val="TextKind"/>
    <w:rsid w:val="00121C60"/>
    <w:rPr>
      <w:rFonts w:ascii="Times New Roman" w:hAnsi="Times New Roman" w:cs="Times New Roman"/>
      <w:sz w:val="24"/>
      <w:szCs w:val="24"/>
      <w:u w:val="single"/>
    </w:rPr>
  </w:style>
  <w:style w:type="character" w:customStyle="1" w:styleId="TextValueChar">
    <w:name w:val="TextValue Char"/>
    <w:basedOn w:val="Policepardfau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Policepardfaut"/>
    <w:link w:val="CallTitle"/>
    <w:rsid w:val="00121C60"/>
    <w:rPr>
      <w:rFonts w:ascii="Times New Roman" w:hAnsi="Times New Roman" w:cs="Times New Roman"/>
      <w:b/>
      <w:sz w:val="28"/>
      <w:szCs w:val="28"/>
      <w:lang w:val="fr-BE"/>
    </w:rPr>
  </w:style>
  <w:style w:type="character" w:customStyle="1" w:styleId="CallIdentifierChar">
    <w:name w:val="CallIdentifier Char"/>
    <w:basedOn w:val="Policepardfaut"/>
    <w:link w:val="CallIdentifier"/>
    <w:rsid w:val="00121C60"/>
    <w:rPr>
      <w:rFonts w:ascii="Times New Roman" w:hAnsi="Times New Roman" w:cs="Times New Roman"/>
      <w:b/>
      <w:i/>
      <w:sz w:val="24"/>
      <w:szCs w:val="24"/>
    </w:rPr>
  </w:style>
  <w:style w:type="character" w:customStyle="1" w:styleId="Titre2Car">
    <w:name w:val="Titre 2 Car"/>
    <w:basedOn w:val="Policepardfaut"/>
    <w:link w:val="Titre2"/>
    <w:uiPriority w:val="9"/>
    <w:rsid w:val="006414B6"/>
    <w:rPr>
      <w:rFonts w:ascii="Times New Roman" w:eastAsiaTheme="majorEastAsia" w:hAnsi="Times New Roman" w:cs="Times New Roman"/>
      <w:b/>
      <w:bCs/>
      <w:sz w:val="28"/>
      <w:szCs w:val="28"/>
      <w:lang w:val="fr-BE"/>
    </w:rPr>
  </w:style>
  <w:style w:type="character" w:customStyle="1" w:styleId="Titre3Car">
    <w:name w:val="Titre 3 Car"/>
    <w:basedOn w:val="Policepardfaut"/>
    <w:link w:val="Titre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Titre3"/>
    <w:next w:val="TextValue"/>
    <w:link w:val="HeadingThreeChar"/>
    <w:qFormat/>
    <w:rsid w:val="00593915"/>
    <w:pPr>
      <w:spacing w:before="240" w:after="240"/>
    </w:pPr>
    <w:rPr>
      <w:sz w:val="24"/>
    </w:rPr>
  </w:style>
  <w:style w:type="character" w:customStyle="1" w:styleId="HeadingThreeChar">
    <w:name w:val="HeadingThree Char"/>
    <w:basedOn w:val="Titre3Car"/>
    <w:link w:val="HeadingThree"/>
    <w:rsid w:val="00593915"/>
    <w:rPr>
      <w:rFonts w:ascii="Times New Roman" w:eastAsiaTheme="majorEastAsia" w:hAnsi="Times New Roman" w:cs="Times New Roman"/>
      <w:b/>
      <w:bCs/>
      <w:sz w:val="24"/>
      <w:szCs w:val="28"/>
    </w:rPr>
  </w:style>
  <w:style w:type="paragraph" w:styleId="En-tte">
    <w:name w:val="header"/>
    <w:basedOn w:val="Normal"/>
    <w:link w:val="En-tteCar"/>
    <w:uiPriority w:val="99"/>
    <w:unhideWhenUsed/>
    <w:rsid w:val="0082499D"/>
    <w:pPr>
      <w:tabs>
        <w:tab w:val="center" w:pos="4536"/>
        <w:tab w:val="right" w:pos="9072"/>
      </w:tabs>
      <w:spacing w:after="0" w:line="240" w:lineRule="auto"/>
    </w:pPr>
  </w:style>
  <w:style w:type="character" w:customStyle="1" w:styleId="En-tteCar">
    <w:name w:val="En-tête Car"/>
    <w:basedOn w:val="Policepardfaut"/>
    <w:link w:val="En-tte"/>
    <w:uiPriority w:val="99"/>
    <w:rsid w:val="0082499D"/>
  </w:style>
  <w:style w:type="paragraph" w:styleId="Pieddepage">
    <w:name w:val="footer"/>
    <w:basedOn w:val="Normal"/>
    <w:link w:val="PieddepageCar"/>
    <w:uiPriority w:val="99"/>
    <w:unhideWhenUsed/>
    <w:rsid w:val="008249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499D"/>
  </w:style>
  <w:style w:type="character" w:customStyle="1" w:styleId="Titre1Car">
    <w:name w:val="Titre 1 Car"/>
    <w:basedOn w:val="Policepardfaut"/>
    <w:link w:val="Titre1"/>
    <w:uiPriority w:val="9"/>
    <w:rsid w:val="00953FBF"/>
    <w:rPr>
      <w:rFonts w:ascii="Times New Roman" w:eastAsiaTheme="majorEastAsia" w:hAnsi="Times New Roman" w:cs="Times New Roman"/>
      <w:b/>
      <w:bCs/>
      <w:sz w:val="28"/>
      <w:szCs w:val="32"/>
    </w:rPr>
  </w:style>
  <w:style w:type="paragraph" w:styleId="En-ttedetabledesmatires">
    <w:name w:val="TOC Heading"/>
    <w:basedOn w:val="Titre1"/>
    <w:next w:val="Normal"/>
    <w:uiPriority w:val="39"/>
    <w:semiHidden/>
    <w:unhideWhenUsed/>
    <w:qFormat/>
    <w:rsid w:val="0082499D"/>
    <w:pPr>
      <w:outlineLvl w:val="9"/>
    </w:pPr>
    <w:rPr>
      <w:lang w:val="en-US" w:eastAsia="ja-JP"/>
    </w:rPr>
  </w:style>
  <w:style w:type="paragraph" w:styleId="Textedebulles">
    <w:name w:val="Balloon Text"/>
    <w:basedOn w:val="Normal"/>
    <w:link w:val="TextedebullesCar"/>
    <w:uiPriority w:val="99"/>
    <w:semiHidden/>
    <w:unhideWhenUsed/>
    <w:rsid w:val="008249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499D"/>
    <w:rPr>
      <w:rFonts w:ascii="Tahoma" w:hAnsi="Tahoma" w:cs="Tahoma"/>
      <w:sz w:val="16"/>
      <w:szCs w:val="16"/>
    </w:rPr>
  </w:style>
  <w:style w:type="table" w:styleId="Grilledutableau">
    <w:name w:val="Table Grid"/>
    <w:basedOn w:val="Tableau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M3">
    <w:name w:val="toc 3"/>
    <w:basedOn w:val="Titre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M2">
    <w:name w:val="toc 2"/>
    <w:basedOn w:val="Normal"/>
    <w:next w:val="Normal"/>
    <w:autoRedefine/>
    <w:uiPriority w:val="39"/>
    <w:unhideWhenUsed/>
    <w:qFormat/>
    <w:rsid w:val="00B1406F"/>
    <w:pPr>
      <w:spacing w:before="240" w:after="0"/>
      <w:jc w:val="left"/>
    </w:pPr>
    <w:rPr>
      <w:b/>
      <w:bCs/>
      <w:szCs w:val="20"/>
    </w:rPr>
  </w:style>
  <w:style w:type="character" w:styleId="Textedelespacerserv">
    <w:name w:val="Placeholder Text"/>
    <w:basedOn w:val="Policepardfaut"/>
    <w:uiPriority w:val="99"/>
    <w:semiHidden/>
    <w:rsid w:val="00617338"/>
    <w:rPr>
      <w:color w:val="808080"/>
    </w:rPr>
  </w:style>
  <w:style w:type="paragraph" w:styleId="Paragraphedeliste">
    <w:name w:val="List Paragraph"/>
    <w:basedOn w:val="Normal"/>
    <w:link w:val="ParagraphedelisteCar"/>
    <w:uiPriority w:val="34"/>
    <w:qFormat/>
    <w:rsid w:val="004800FB"/>
    <w:pPr>
      <w:ind w:left="720"/>
    </w:pPr>
  </w:style>
  <w:style w:type="paragraph" w:customStyle="1" w:styleId="BulletParagraph">
    <w:name w:val="BulletParagraph"/>
    <w:basedOn w:val="Paragraphedeliste"/>
    <w:link w:val="BulletParagraphChar"/>
    <w:qFormat/>
    <w:rsid w:val="006E622C"/>
    <w:pPr>
      <w:numPr>
        <w:numId w:val="1"/>
      </w:numPr>
    </w:pPr>
  </w:style>
  <w:style w:type="character" w:customStyle="1" w:styleId="ParagraphedelisteCar">
    <w:name w:val="Paragraphe de liste Car"/>
    <w:basedOn w:val="Policepardfaut"/>
    <w:link w:val="Paragraphedeliste"/>
    <w:uiPriority w:val="34"/>
    <w:rsid w:val="004800FB"/>
    <w:rPr>
      <w:rFonts w:ascii="Times New Roman" w:hAnsi="Times New Roman"/>
      <w:sz w:val="24"/>
    </w:rPr>
  </w:style>
  <w:style w:type="character" w:customStyle="1" w:styleId="BulletParagraphChar">
    <w:name w:val="BulletParagraph Char"/>
    <w:basedOn w:val="ParagraphedelisteC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Paragraphedeliste"/>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Paragraphedeliste"/>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Titre4Car">
    <w:name w:val="Titre 4 Car"/>
    <w:basedOn w:val="Policepardfaut"/>
    <w:link w:val="Titre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Titre1"/>
    <w:next w:val="TextValue"/>
    <w:qFormat/>
    <w:rsid w:val="00C16345"/>
  </w:style>
  <w:style w:type="paragraph" w:customStyle="1" w:styleId="HeadingTwo">
    <w:name w:val="HeadingTwo"/>
    <w:basedOn w:val="Titre2"/>
    <w:next w:val="TextValue"/>
    <w:qFormat/>
    <w:rsid w:val="00953FBF"/>
    <w:pPr>
      <w:spacing w:after="200"/>
    </w:pPr>
    <w:rPr>
      <w:sz w:val="24"/>
    </w:rPr>
  </w:style>
  <w:style w:type="paragraph" w:customStyle="1" w:styleId="HeadingFour">
    <w:name w:val="HeadingFour"/>
    <w:basedOn w:val="Titre4"/>
    <w:next w:val="TextValue"/>
    <w:qFormat/>
    <w:rsid w:val="006414B6"/>
    <w:rPr>
      <w:b w:val="0"/>
    </w:rPr>
  </w:style>
  <w:style w:type="character" w:styleId="Lienhypertexte">
    <w:name w:val="Hyperlink"/>
    <w:basedOn w:val="Policepardfaut"/>
    <w:uiPriority w:val="99"/>
    <w:unhideWhenUsed/>
    <w:rsid w:val="001E22B7"/>
    <w:rPr>
      <w:color w:val="0000FF" w:themeColor="hyperlink"/>
      <w:u w:val="single"/>
    </w:rPr>
  </w:style>
  <w:style w:type="paragraph" w:styleId="TM4">
    <w:name w:val="toc 4"/>
    <w:basedOn w:val="Normal"/>
    <w:next w:val="Normal"/>
    <w:autoRedefine/>
    <w:uiPriority w:val="39"/>
    <w:unhideWhenUsed/>
    <w:rsid w:val="00B1406F"/>
    <w:pPr>
      <w:spacing w:after="0"/>
      <w:ind w:left="480"/>
      <w:jc w:val="left"/>
    </w:pPr>
    <w:rPr>
      <w:sz w:val="22"/>
      <w:szCs w:val="20"/>
    </w:rPr>
  </w:style>
  <w:style w:type="paragraph" w:styleId="TM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M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M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M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M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Textebrut">
    <w:name w:val="Plain Text"/>
    <w:basedOn w:val="Normal"/>
    <w:link w:val="TextebrutCar"/>
    <w:uiPriority w:val="99"/>
    <w:semiHidden/>
    <w:unhideWhenUsed/>
    <w:rsid w:val="009E7A2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9E7A2D"/>
    <w:rPr>
      <w:rFonts w:ascii="Consolas" w:hAnsi="Consolas"/>
      <w:sz w:val="21"/>
      <w:szCs w:val="21"/>
    </w:rPr>
  </w:style>
  <w:style w:type="paragraph" w:customStyle="1" w:styleId="NumberParagraphAlpha">
    <w:name w:val="NumberParagraphAlpha"/>
    <w:basedOn w:val="Paragraphedeliste"/>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Policepardfau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s://icd.who.int/browse/2024-01/mms/en" TargetMode="External"/><Relationship Id="rId117" Type="http://schemas.openxmlformats.org/officeDocument/2006/relationships/hyperlink" Target="https://go.bio.org/rs/490-EHZ-999/images/ClinicalDevelopmentSuccessRates2011_2020.pdf" TargetMode="External"/><Relationship Id="rId21" Type="http://schemas.openxmlformats.org/officeDocument/2006/relationships/hyperlink" Target="https://research-and-innovation.ec.europa.eu/strategy/strategy-2020-2024/our-digital-future/open-science/european-open-science-cloud-eosc_en" TargetMode="External"/><Relationship Id="rId42" Type="http://schemas.openxmlformats.org/officeDocument/2006/relationships/hyperlink" Target="https://research-and-innovation.ec.europa.eu/research-area/health/environment-and-health_en" TargetMode="External"/><Relationship Id="rId47" Type="http://schemas.openxmlformats.org/officeDocument/2006/relationships/hyperlink" Target="https://www.who.int/news/item/22-06-2022-22-06-2022-lack-of-innovation-set-to-undermine-antibiotic-performance-and-health-gains" TargetMode="External"/><Relationship Id="rId63" Type="http://schemas.openxmlformats.org/officeDocument/2006/relationships/hyperlink" Target="https://www.glopid-r.org/" TargetMode="External"/><Relationship Id="rId68" Type="http://schemas.openxmlformats.org/officeDocument/2006/relationships/hyperlink" Target="https://www.who.int/docs/default-source/documents/gs4dhdaa2a9f352b0445bafbc79ca799dce4d.pdf" TargetMode="External"/><Relationship Id="rId84" Type="http://schemas.openxmlformats.org/officeDocument/2006/relationships/hyperlink" Target="https://www.eppermed.eu" TargetMode="External"/><Relationship Id="rId89" Type="http://schemas.openxmlformats.org/officeDocument/2006/relationships/hyperlink" Target="https://digital-strategy.ec.europa.eu/en/library/communication-boosting-startups-and-innovation-trustworthy-artificial-intelligence" TargetMode="External"/><Relationship Id="rId112" Type="http://schemas.openxmlformats.org/officeDocument/2006/relationships/hyperlink" Target="https://cancerimage.eu" TargetMode="External"/><Relationship Id="rId16" Type="http://schemas.openxmlformats.org/officeDocument/2006/relationships/hyperlink" Target="https://www.gsc-europa.eu/galileo/services/galileo-initial-services" TargetMode="External"/><Relationship Id="rId107" Type="http://schemas.openxmlformats.org/officeDocument/2006/relationships/hyperlink" Target="https://research-and-innovation.ec.europa.eu/news/all-research-and-innovation-news/guidelines-responsible-use-generative-ai-research-developed-european-research-area-forum-2024-03-20_en" TargetMode="External"/><Relationship Id="rId11" Type="http://schemas.openxmlformats.org/officeDocument/2006/relationships/hyperlink" Target="https://www.openaire.eu/how-to-make-your-data-fair" TargetMode="External"/><Relationship Id="rId32" Type="http://schemas.openxmlformats.org/officeDocument/2006/relationships/hyperlink" Target="https://research-and-innovation.ec.europa.eu/research-area/health/environment-and-health_en" TargetMode="External"/><Relationship Id="rId37" Type="http://schemas.openxmlformats.org/officeDocument/2006/relationships/hyperlink" Target="https://research-and-innovation.ec.europa.eu/research-area/health/environment-and-health_en" TargetMode="External"/><Relationship Id="rId53" Type="http://schemas.openxmlformats.org/officeDocument/2006/relationships/hyperlink" Target="https://www.orpha.net/" TargetMode="External"/><Relationship Id="rId58" Type="http://schemas.openxmlformats.org/officeDocument/2006/relationships/hyperlink" Target="https://www.bbmri-eric.eu" TargetMode="External"/><Relationship Id="rId74" Type="http://schemas.openxmlformats.org/officeDocument/2006/relationships/hyperlink" Target="https://health.ec.europa.eu/ehealth-digital-health-and-care/european-health-data-space_en" TargetMode="External"/><Relationship Id="rId79" Type="http://schemas.openxmlformats.org/officeDocument/2006/relationships/hyperlink" Target="https://ebrains.eu" TargetMode="External"/><Relationship Id="rId102" Type="http://schemas.openxmlformats.org/officeDocument/2006/relationships/hyperlink" Target="https://digital-strategy.ec.europa.eu/en/policies/european-approach-artificial-intelligence" TargetMode="External"/><Relationship Id="rId123" Type="http://schemas.openxmlformats.org/officeDocument/2006/relationships/hyperlink" Target="https://www.ema.europa.eu/en/news/ema-pilots-scientific-advice-certain-high-risk-medical-devices" TargetMode="External"/><Relationship Id="rId5" Type="http://schemas.openxmlformats.org/officeDocument/2006/relationships/hyperlink" Target="https://healthcare-quality.jrc.ec.europa.eu" TargetMode="External"/><Relationship Id="rId90" Type="http://schemas.openxmlformats.org/officeDocument/2006/relationships/hyperlink" Target="https://eur-lex.europa.eu/legal-content/EN/TXT/PDF/?uri=CELEX:52021DC0082" TargetMode="External"/><Relationship Id="rId95" Type="http://schemas.openxmlformats.org/officeDocument/2006/relationships/hyperlink" Target="https://health.ec.europa.eu/ehealth-digital-health-and-care/european-health-data-space_en" TargetMode="External"/><Relationship Id="rId22" Type="http://schemas.openxmlformats.org/officeDocument/2006/relationships/hyperlink" Target="https://icd.who.int/browse/2024-01/mms/en" TargetMode="External"/><Relationship Id="rId27" Type="http://schemas.openxmlformats.org/officeDocument/2006/relationships/hyperlink" Target="https://www.ohchr.org/en/instruments-mechanisms/instruments/convention-rights-persons-disabilities" TargetMode="External"/><Relationship Id="rId43" Type="http://schemas.openxmlformats.org/officeDocument/2006/relationships/hyperlink" Target="https://era4health.eu" TargetMode="External"/><Relationship Id="rId48" Type="http://schemas.openxmlformats.org/officeDocument/2006/relationships/hyperlink" Target="https://iris.who.int/bitstream/handle/10665/376776/9789240093461-eng.pdf?sequence=1" TargetMode="External"/><Relationship Id="rId64" Type="http://schemas.openxmlformats.org/officeDocument/2006/relationships/hyperlink" Target="https://www.gacd.org" TargetMode="External"/><Relationship Id="rId69" Type="http://schemas.openxmlformats.org/officeDocument/2006/relationships/hyperlink" Target="https://health.ec.europa.eu/publications/eu-non-communicable-diseases-ncds-initiative-guidance-document_en" TargetMode="External"/><Relationship Id="rId113" Type="http://schemas.openxmlformats.org/officeDocument/2006/relationships/hyperlink" Target="https://research-and-innovation.ec.europa.eu/strategy/strategy-2020-2024/our-digital-future/open-science/european-open-science-cloud-eosc_en" TargetMode="External"/><Relationship Id="rId118" Type="http://schemas.openxmlformats.org/officeDocument/2006/relationships/hyperlink" Target="https://www.ema.europa.eu/en/human-regulatory-overview/advanced-therapy-medicinal-products-overview" TargetMode="External"/><Relationship Id="rId80" Type="http://schemas.openxmlformats.org/officeDocument/2006/relationships/hyperlink" Target="https://www.brainhealth-partnership.eu/" TargetMode="External"/><Relationship Id="rId85" Type="http://schemas.openxmlformats.org/officeDocument/2006/relationships/hyperlink" Target="https://ecrin.org/" TargetMode="External"/><Relationship Id="rId12" Type="http://schemas.openxmlformats.org/officeDocument/2006/relationships/hyperlink" Target="https://ri-portfolio.esfri.eu" TargetMode="External"/><Relationship Id="rId17" Type="http://schemas.openxmlformats.org/officeDocument/2006/relationships/hyperlink" Target="https://www.euspa.europa.eu/eu-space-programme/egnos" TargetMode="External"/><Relationship Id="rId33" Type="http://schemas.openxmlformats.org/officeDocument/2006/relationships/hyperlink" Target="https://etendering.ted.europa.eu/cft/cft-display.html?cftId=13967" TargetMode="External"/><Relationship Id="rId38" Type="http://schemas.openxmlformats.org/officeDocument/2006/relationships/hyperlink" Target="https://euraxess.ec.europa.eu/worldwide/asean/news/european-commission-publishes-plan-phasing-out-animal-testing" TargetMode="External"/><Relationship Id="rId59" Type="http://schemas.openxmlformats.org/officeDocument/2006/relationships/hyperlink" Target="https://gdi.onemilliongenomes.eu" TargetMode="External"/><Relationship Id="rId103" Type="http://schemas.openxmlformats.org/officeDocument/2006/relationships/hyperlink" Target="https://eur-lex.europa.eu/legal-content/EN/TXT/?uri=COM:2018:237:FIN" TargetMode="External"/><Relationship Id="rId108" Type="http://schemas.openxmlformats.org/officeDocument/2006/relationships/hyperlink" Target="https://gdpr-info.eu/" TargetMode="External"/><Relationship Id="rId124" Type="http://schemas.openxmlformats.org/officeDocument/2006/relationships/hyperlink" Target="https://ec.europa.eu/info/funding-tenders/opportunities/portal/screen/opportunities/topic-details/horizon-hlth-2023-disease-07-01" TargetMode="External"/><Relationship Id="rId54" Type="http://schemas.openxmlformats.org/officeDocument/2006/relationships/hyperlink" Target="https://ec.europa.eu/newsroom/dae/redirection/document/101621" TargetMode="External"/><Relationship Id="rId70" Type="http://schemas.openxmlformats.org/officeDocument/2006/relationships/hyperlink" Target="https://health.ec.europa.eu/publications/comprehensive-approach-mental-health_en" TargetMode="External"/><Relationship Id="rId75" Type="http://schemas.openxmlformats.org/officeDocument/2006/relationships/hyperlink" Target="https://www.brainhealth-partnership.eu/" TargetMode="External"/><Relationship Id="rId91" Type="http://schemas.openxmlformats.org/officeDocument/2006/relationships/hyperlink" Target="https://ec.europa.eu/futurium/en/ai-alliance-consultation.1.html" TargetMode="External"/><Relationship Id="rId96" Type="http://schemas.openxmlformats.org/officeDocument/2006/relationships/hyperlink" Target="https://gdi.onemilliongenomes.eu" TargetMode="External"/><Relationship Id="rId1" Type="http://schemas.openxmlformats.org/officeDocument/2006/relationships/hyperlink" Target="https://research-and-innovation.ec.europa.eu/news/all-research-and-innovation-news/synergies-guidance-out-2022-07-06_en" TargetMode="External"/><Relationship Id="rId6" Type="http://schemas.openxmlformats.org/officeDocument/2006/relationships/hyperlink" Target="https://cancer-inequalities.jrc.ec.europa.eu" TargetMode="External"/><Relationship Id="rId23" Type="http://schemas.openxmlformats.org/officeDocument/2006/relationships/hyperlink" Target="https://icd.who.int/browse/2024-01/mms/en" TargetMode="External"/><Relationship Id="rId28" Type="http://schemas.openxmlformats.org/officeDocument/2006/relationships/hyperlink" Target="https://www.ncbi.nlm.nih.gov/pmc/articles/PMC7082244/" TargetMode="External"/><Relationship Id="rId49" Type="http://schemas.openxmlformats.org/officeDocument/2006/relationships/hyperlink" Target="https://www.ncbi.nlm.nih.gov/pmc/articles/PMC9598614/" TargetMode="External"/><Relationship Id="rId114" Type="http://schemas.openxmlformats.org/officeDocument/2006/relationships/hyperlink" Target="https://ebrains.eu/" TargetMode="External"/><Relationship Id="rId119" Type="http://schemas.openxmlformats.org/officeDocument/2006/relationships/hyperlink" Target="https://health.ec.europa.eu/study-supporting-monitoring-availability-medical-devices-eu-market_en" TargetMode="External"/><Relationship Id="rId44" Type="http://schemas.openxmlformats.org/officeDocument/2006/relationships/hyperlink" Target="https://health.ec.europa.eu/funding/eu4health-programme-2021-2027-vision-healthier-european-union_en" TargetMode="External"/><Relationship Id="rId60" Type="http://schemas.openxmlformats.org/officeDocument/2006/relationships/hyperlink" Target="https://www.who.int/teams/health-product-policy-and-standards/standards-and-specifications/gmp" TargetMode="External"/><Relationship Id="rId65" Type="http://schemas.openxmlformats.org/officeDocument/2006/relationships/hyperlink" Target="https://doi.org/10.1093/polsoc/puac022" TargetMode="External"/><Relationship Id="rId81" Type="http://schemas.openxmlformats.org/officeDocument/2006/relationships/hyperlink" Target="https://www.ebra.eu" TargetMode="External"/><Relationship Id="rId86" Type="http://schemas.openxmlformats.org/officeDocument/2006/relationships/hyperlink" Target="https://www.bbmri-eric.eu" TargetMode="External"/><Relationship Id="rId13" Type="http://schemas.openxmlformats.org/officeDocument/2006/relationships/hyperlink" Target="https://www.eric-forum.eu/the-eric-landscape" TargetMode="External"/><Relationship Id="rId18" Type="http://schemas.openxmlformats.org/officeDocument/2006/relationships/hyperlink" Target="https://eur-lex.europa.eu/legal-content/EN/TXT/?uri=celex%3A32014R0536" TargetMode="External"/><Relationship Id="rId39" Type="http://schemas.openxmlformats.org/officeDocument/2006/relationships/hyperlink" Target="https://research-and-innovation.ec.europa.eu/research-area/health/environment-and-health_en" TargetMode="External"/><Relationship Id="rId109" Type="http://schemas.openxmlformats.org/officeDocument/2006/relationships/hyperlink" Target="https://www.ejprarediseases.org/what-is-the-virtual-platform" TargetMode="External"/><Relationship Id="rId34" Type="http://schemas.openxmlformats.org/officeDocument/2006/relationships/hyperlink" Target="https://www.efsa.europa.eu/en/art36grants/article36/gpefsaed202201-nam-projects-areas-aop-development-and-transcriptomics-risk" TargetMode="External"/><Relationship Id="rId50" Type="http://schemas.openxmlformats.org/officeDocument/2006/relationships/hyperlink" Target="https://www.ema.europa.eu/en/human-regulatory-overview/research-development/scientific-advice-protocol-assistance" TargetMode="External"/><Relationship Id="rId55" Type="http://schemas.openxmlformats.org/officeDocument/2006/relationships/hyperlink" Target="https://ecrin.org" TargetMode="External"/><Relationship Id="rId76" Type="http://schemas.openxmlformats.org/officeDocument/2006/relationships/hyperlink" Target="https://neurodegenerationresearch.eu" TargetMode="External"/><Relationship Id="rId97" Type="http://schemas.openxmlformats.org/officeDocument/2006/relationships/hyperlink" Target="https://cancerimage.eu" TargetMode="External"/><Relationship Id="rId104" Type="http://schemas.openxmlformats.org/officeDocument/2006/relationships/hyperlink" Target="https://www.who.int/teams/health-product-policy-and-standards/standards-and-specifications/gmp" TargetMode="External"/><Relationship Id="rId120" Type="http://schemas.openxmlformats.org/officeDocument/2006/relationships/hyperlink" Target="https://health.ec.europa.eu/document/download/daa1fc59-9d2c-4e82-878e-d6fdf12ecd1a_en?filename=mdcg_2024-10_en.pdf" TargetMode="External"/><Relationship Id="rId125" Type="http://schemas.openxmlformats.org/officeDocument/2006/relationships/hyperlink" Target="https://www.gacd.org" TargetMode="External"/><Relationship Id="rId7" Type="http://schemas.openxmlformats.org/officeDocument/2006/relationships/hyperlink" Target="https://eu-rd-platform.jrc.ec.europa.eu/_en" TargetMode="External"/><Relationship Id="rId71" Type="http://schemas.openxmlformats.org/officeDocument/2006/relationships/hyperlink" Target="https://health.ec.europa.eu/medicinal-products/pharmaceutical-strategy-europe_en" TargetMode="External"/><Relationship Id="rId92" Type="http://schemas.openxmlformats.org/officeDocument/2006/relationships/hyperlink" Target="https://research-and-innovation.ec.europa.eu/news/all-research-and-innovation-news/guidelines-responsible-use-generative-ai-research-developed-european-research-area-forum-2024-03-20_en" TargetMode="External"/><Relationship Id="rId2" Type="http://schemas.openxmlformats.org/officeDocument/2006/relationships/hyperlink" Target="https://health.ec.europa.eu/system/files/2022-02/eu_cancer-plan_en_0.pdf" TargetMode="External"/><Relationship Id="rId29" Type="http://schemas.openxmlformats.org/officeDocument/2006/relationships/hyperlink" Target="https://www.eea.europa.eu/publications/zero-pollution" TargetMode="External"/><Relationship Id="rId24" Type="http://schemas.openxmlformats.org/officeDocument/2006/relationships/hyperlink" Target="https://icd.who.int/browse/2024-01/mms/en" TargetMode="External"/><Relationship Id="rId40" Type="http://schemas.openxmlformats.org/officeDocument/2006/relationships/hyperlink" Target="https://cusp-research.eu/" TargetMode="External"/><Relationship Id="rId45" Type="http://schemas.openxmlformats.org/officeDocument/2006/relationships/hyperlink" Target="https://www.who.int/publications/i/item/9789241506236" TargetMode="External"/><Relationship Id="rId66" Type="http://schemas.openxmlformats.org/officeDocument/2006/relationships/hyperlink" Target="https://apps.who.int/gb/ebwha/pdf_files/WHA66-REC1/A66_R1_ANX4-en.pdf" TargetMode="External"/><Relationship Id="rId87" Type="http://schemas.openxmlformats.org/officeDocument/2006/relationships/hyperlink" Target="https://digital-strategy.ec.europa.eu/en/policies/european-approach-artificial-intelligence" TargetMode="External"/><Relationship Id="rId110" Type="http://schemas.openxmlformats.org/officeDocument/2006/relationships/hyperlink" Target="https://health.ec.europa.eu/ehealth-digital-health-and-care/european-health-data-space_en" TargetMode="External"/><Relationship Id="rId115" Type="http://schemas.openxmlformats.org/officeDocument/2006/relationships/hyperlink" Target="https://digital-strategy.ec.europa.eu/en/policies/ai-factories" TargetMode="External"/><Relationship Id="rId61" Type="http://schemas.openxmlformats.org/officeDocument/2006/relationships/hyperlink" Target="https://health.ec.europa.eu/ehealth-digital-health-and-care/european-health-data-space_en" TargetMode="External"/><Relationship Id="rId82" Type="http://schemas.openxmlformats.org/officeDocument/2006/relationships/hyperlink" Target="https://research-and-innovation.ec.europa.eu/document/download/846561ef-7696-4957-802a-69d19ea6b739_en?filename=ec_rtd_coherence-synergies-of-ep-under-he.pdf" TargetMode="External"/><Relationship Id="rId19" Type="http://schemas.openxmlformats.org/officeDocument/2006/relationships/hyperlink" Target="https://euclinicaltrials.eu/" TargetMode="External"/><Relationship Id="rId14" Type="http://schemas.openxmlformats.org/officeDocument/2006/relationships/hyperlink" Target="https://research-and-innovation.ec.europa.eu/strategy/strategy-2020-2024/our-digital-future/open-science/european-open-science-cloud-eosc_en" TargetMode="External"/><Relationship Id="rId30" Type="http://schemas.openxmlformats.org/officeDocument/2006/relationships/hyperlink" Target="https://icd.who.int/browse/2024-01/mms/en" TargetMode="External"/><Relationship Id="rId35" Type="http://schemas.openxmlformats.org/officeDocument/2006/relationships/hyperlink" Target="https://www.eu-parc.eu/" TargetMode="External"/><Relationship Id="rId56" Type="http://schemas.openxmlformats.org/officeDocument/2006/relationships/hyperlink" Target="https://eatris.eu" TargetMode="External"/><Relationship Id="rId77" Type="http://schemas.openxmlformats.org/officeDocument/2006/relationships/hyperlink" Target="https://www.neuron-eranet.eu" TargetMode="External"/><Relationship Id="rId100" Type="http://schemas.openxmlformats.org/officeDocument/2006/relationships/hyperlink" Target="https://digital-strategy.ec.europa.eu/en/policies/ai-factories" TargetMode="External"/><Relationship Id="rId105" Type="http://schemas.openxmlformats.org/officeDocument/2006/relationships/hyperlink" Target="https://health.ec.europa.eu/blood-tissues-cells-and-organs_en" TargetMode="External"/><Relationship Id="rId126" Type="http://schemas.openxmlformats.org/officeDocument/2006/relationships/hyperlink" Target="https://eur-lex.europa.eu/legal-content/EN/TXT/?uri=COM%3A2021%3A252%3AFIN" TargetMode="External"/><Relationship Id="rId8" Type="http://schemas.openxmlformats.org/officeDocument/2006/relationships/hyperlink" Target="https://knowledge4policy.ec.europa.eu/health-promotion-knowledge-gateway_en" TargetMode="External"/><Relationship Id="rId51" Type="http://schemas.openxmlformats.org/officeDocument/2006/relationships/hyperlink" Target="https://eur-lex.europa.eu/legal-content/EN/TXT/PDF/?uri=CELEX:32003H0361" TargetMode="External"/><Relationship Id="rId72" Type="http://schemas.openxmlformats.org/officeDocument/2006/relationships/hyperlink" Target="https://eur-lex.europa.eu/legal-content/EN/TXT/PDF/?uri=CELEX:32021R0522" TargetMode="External"/><Relationship Id="rId93" Type="http://schemas.openxmlformats.org/officeDocument/2006/relationships/hyperlink" Target="https://gdpr-info.eu/" TargetMode="External"/><Relationship Id="rId98" Type="http://schemas.openxmlformats.org/officeDocument/2006/relationships/hyperlink" Target="https://research-and-innovation.ec.europa.eu/strategy/strategy-2020-2024/our-digital-future/open-science/european-open-science-cloud-eosc_en" TargetMode="External"/><Relationship Id="rId121" Type="http://schemas.openxmlformats.org/officeDocument/2006/relationships/hyperlink" Target="https://ec.europa.eu/docsroom/documents/17522/attachments/1/translations" TargetMode="External"/><Relationship Id="rId3" Type="http://schemas.openxmlformats.org/officeDocument/2006/relationships/hyperlink" Target="https://ecis.jrc.ec.europa.eu" TargetMode="External"/><Relationship Id="rId25" Type="http://schemas.openxmlformats.org/officeDocument/2006/relationships/hyperlink" Target="https://icd.who.int/browse/2024-01/mms/en" TargetMode="External"/><Relationship Id="rId46" Type="http://schemas.openxmlformats.org/officeDocument/2006/relationships/hyperlink" Target="https://www.who.int/news-room/fact-sheets/detail/antimicrobial-resistance" TargetMode="External"/><Relationship Id="rId67" Type="http://schemas.openxmlformats.org/officeDocument/2006/relationships/hyperlink" Target="https://www.who.int/health-topics/universal-health-coverage" TargetMode="External"/><Relationship Id="rId116" Type="http://schemas.openxmlformats.org/officeDocument/2006/relationships/hyperlink" Target="https://research-and-innovation.ec.europa.eu/document/download/47554adc-dffc-411b-8cd6-b52417514cb3_en" TargetMode="External"/><Relationship Id="rId20" Type="http://schemas.openxmlformats.org/officeDocument/2006/relationships/hyperlink" Target="https://health.ec.europa.eu/ehealth-digital-health-and-care/european-health-data-space_en" TargetMode="External"/><Relationship Id="rId41" Type="http://schemas.openxmlformats.org/officeDocument/2006/relationships/hyperlink" Target="https://ipchem.jrc.ec.europa.eu" TargetMode="External"/><Relationship Id="rId62" Type="http://schemas.openxmlformats.org/officeDocument/2006/relationships/hyperlink" Target="https://research-and-innovation.ec.europa.eu/strategy/strategy-2020-2024/our-digital-future/open-science/european-open-science-cloud-eosc_en" TargetMode="External"/><Relationship Id="rId83" Type="http://schemas.openxmlformats.org/officeDocument/2006/relationships/hyperlink" Target="https://era4health.eu" TargetMode="External"/><Relationship Id="rId88" Type="http://schemas.openxmlformats.org/officeDocument/2006/relationships/hyperlink" Target="https://eur-lex.europa.eu/legal-content/EN/TXT/?uri=COM:2018:237:FIN" TargetMode="External"/><Relationship Id="rId111" Type="http://schemas.openxmlformats.org/officeDocument/2006/relationships/hyperlink" Target="https://gdi.onemilliongenomes.eu" TargetMode="External"/><Relationship Id="rId15" Type="http://schemas.openxmlformats.org/officeDocument/2006/relationships/hyperlink" Target="https://www.copernicus.eu/en/copernicus-services" TargetMode="External"/><Relationship Id="rId36" Type="http://schemas.openxmlformats.org/officeDocument/2006/relationships/hyperlink" Target="https://ipchem.jrc.ec.europa.eu/" TargetMode="External"/><Relationship Id="rId57" Type="http://schemas.openxmlformats.org/officeDocument/2006/relationships/hyperlink" Target="https://www.ebrains.eu/" TargetMode="External"/><Relationship Id="rId106" Type="http://schemas.openxmlformats.org/officeDocument/2006/relationships/hyperlink" Target="https://ec.europa.eu/futurium/en/ai-alliance-consultation.1.html" TargetMode="External"/><Relationship Id="rId10" Type="http://schemas.openxmlformats.org/officeDocument/2006/relationships/hyperlink" Target="https://faircookbook.elixir-europe.org/content/home.html" TargetMode="External"/><Relationship Id="rId31" Type="http://schemas.openxmlformats.org/officeDocument/2006/relationships/hyperlink" Target="https://euraxess.ec.europa.eu/worldwide/asean/news/european-commission-publishes-plan-phasing-out-animal-testing" TargetMode="External"/><Relationship Id="rId52" Type="http://schemas.openxmlformats.org/officeDocument/2006/relationships/hyperlink" Target="https://gdpr-info.eu/" TargetMode="External"/><Relationship Id="rId73" Type="http://schemas.openxmlformats.org/officeDocument/2006/relationships/hyperlink" Target="https://ec.europa.eu/social/main.jsp?langId=en&amp;catId=89&amp;furtherNews=yes&amp;newsId=10382" TargetMode="External"/><Relationship Id="rId78" Type="http://schemas.openxmlformats.org/officeDocument/2006/relationships/hyperlink" Target="https://www.humanbrainproject.eu/en" TargetMode="External"/><Relationship Id="rId94" Type="http://schemas.openxmlformats.org/officeDocument/2006/relationships/hyperlink" Target="https://www.ejprarediseases.org/what-is-the-virtual-platform" TargetMode="External"/><Relationship Id="rId99" Type="http://schemas.openxmlformats.org/officeDocument/2006/relationships/hyperlink" Target="https://www.ebrains.eu/" TargetMode="External"/><Relationship Id="rId101" Type="http://schemas.openxmlformats.org/officeDocument/2006/relationships/hyperlink" Target="https://research-and-innovation.ec.europa.eu/document/download/47554adc-dffc-411b-8cd6-b52417514cb3_en" TargetMode="External"/><Relationship Id="rId122" Type="http://schemas.openxmlformats.org/officeDocument/2006/relationships/hyperlink" Target="https://www.fda.gov/medical-devices/how-study-and-market-your-device/breakthrough-devices-program" TargetMode="External"/><Relationship Id="rId4" Type="http://schemas.openxmlformats.org/officeDocument/2006/relationships/hyperlink" Target="https://www.encr.eu" TargetMode="External"/><Relationship Id="rId9" Type="http://schemas.openxmlformats.org/officeDocument/2006/relationships/hyperlink" Target="https://www.go-fair.org/fair-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40575</Words>
  <Characters>223168</Characters>
  <Application>Microsoft Office Word</Application>
  <DocSecurity>0</DocSecurity>
  <Lines>1859</Lines>
  <Paragraphs>526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Gérard Chollet</cp:lastModifiedBy>
  <cp:revision>2</cp:revision>
  <dcterms:created xsi:type="dcterms:W3CDTF">2024-07-17T13:51:00Z</dcterms:created>
  <dcterms:modified xsi:type="dcterms:W3CDTF">2024-07-17T13:51:00Z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2024-07-12T13:17:20Z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a2e33af7-f6f0-44e1-bb33-1ee4bbbdb918</vt:lpwstr>
  </property>
  <property fmtid="{D5CDD505-2E9C-101B-9397-08002B2CF9AE}" pid="12" name="MSIP_Label_6bd9ddd1-4d20-43f6-abfa-fc3c07406f94_ContentBits">
    <vt:lpwstr>0</vt:lpwstr>
  </property>
</Properties>
</file>