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49" w:rsidRDefault="00164249" w:rsidP="00164249">
      <w:pPr>
        <w:pStyle w:val="Naslov1"/>
      </w:pPr>
      <w:r>
        <w:t>Creating translation context with disambiguation in ITS2.0</w:t>
      </w:r>
    </w:p>
    <w:p w:rsidR="00164249" w:rsidRPr="00164249" w:rsidRDefault="00164249" w:rsidP="0016424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64249" w:rsidTr="00164249">
        <w:tc>
          <w:tcPr>
            <w:tcW w:w="4698" w:type="dxa"/>
          </w:tcPr>
          <w:p w:rsidR="00164249" w:rsidRDefault="00164249">
            <w:r>
              <w:t>Text</w:t>
            </w:r>
          </w:p>
        </w:tc>
        <w:tc>
          <w:tcPr>
            <w:tcW w:w="4698" w:type="dxa"/>
          </w:tcPr>
          <w:p w:rsidR="00164249" w:rsidRDefault="00164249">
            <w:r>
              <w:t>Scene</w:t>
            </w:r>
          </w:p>
        </w:tc>
      </w:tr>
      <w:tr w:rsidR="00164249" w:rsidTr="00164249">
        <w:tc>
          <w:tcPr>
            <w:tcW w:w="4698" w:type="dxa"/>
          </w:tcPr>
          <w:p w:rsidR="00481040" w:rsidRDefault="00481040" w:rsidP="00481040">
            <w:pPr>
              <w:pStyle w:val="Telobesedila"/>
            </w:pPr>
            <w:r>
              <w:t>When you mention names in your content, you are faced with</w:t>
            </w:r>
            <w:r>
              <w:t xml:space="preserve"> specific rules to translate (or translite</w:t>
            </w:r>
            <w:r>
              <w:t>rate) proper names</w:t>
            </w:r>
            <w:r>
              <w:t>. Sometimes, they should not even be translated.</w:t>
            </w:r>
            <w:r>
              <w:t xml:space="preserve"> The correct course of action often depends on the context.</w:t>
            </w:r>
          </w:p>
          <w:p w:rsidR="00164249" w:rsidRDefault="00481040" w:rsidP="00481040">
            <w:pPr>
              <w:pStyle w:val="Telobesedila"/>
            </w:pPr>
            <w:r>
              <w:t xml:space="preserve"> </w:t>
            </w:r>
          </w:p>
        </w:tc>
        <w:tc>
          <w:tcPr>
            <w:tcW w:w="4698" w:type="dxa"/>
          </w:tcPr>
          <w:p w:rsidR="00164249" w:rsidRDefault="00481040">
            <w:r>
              <w:t>Intro slide, illustration.</w:t>
            </w:r>
          </w:p>
        </w:tc>
      </w:tr>
      <w:tr w:rsidR="00164249" w:rsidTr="00164249">
        <w:tc>
          <w:tcPr>
            <w:tcW w:w="4698" w:type="dxa"/>
          </w:tcPr>
          <w:p w:rsidR="00481040" w:rsidRDefault="00481040" w:rsidP="00481040">
            <w:pPr>
              <w:pStyle w:val="Telobesedila"/>
            </w:pPr>
            <w:r>
              <w:t xml:space="preserve">For example, when you say: “I’m moving to London,” I’d usually interpret that as you’re moving to the UK. </w:t>
            </w:r>
          </w:p>
          <w:p w:rsidR="00164249" w:rsidRDefault="00164249" w:rsidP="00481040"/>
        </w:tc>
        <w:tc>
          <w:tcPr>
            <w:tcW w:w="4698" w:type="dxa"/>
          </w:tcPr>
          <w:p w:rsidR="00164249" w:rsidRDefault="00481040" w:rsidP="00481040">
            <w:r>
              <w:t>Show example “I’m moving to London”</w:t>
            </w:r>
          </w:p>
          <w:p w:rsidR="00481040" w:rsidRDefault="00481040" w:rsidP="00481040">
            <w:pPr>
              <w:pStyle w:val="Odstavekseznama"/>
            </w:pPr>
          </w:p>
        </w:tc>
      </w:tr>
      <w:tr w:rsidR="00481040" w:rsidTr="00164249">
        <w:tc>
          <w:tcPr>
            <w:tcW w:w="4698" w:type="dxa"/>
          </w:tcPr>
          <w:p w:rsidR="00481040" w:rsidRDefault="00481040" w:rsidP="000A4A74">
            <w:pPr>
              <w:pStyle w:val="Telobesedila"/>
            </w:pPr>
            <w:r>
              <w:t>However, if you continue that sentence with “I hope it doesn’t get too cold in Onta</w:t>
            </w:r>
            <w:r w:rsidR="000A4A74">
              <w:t>rio</w:t>
            </w:r>
            <w:r>
              <w:t>”</w:t>
            </w:r>
            <w:r w:rsidR="000A4A74">
              <w:t>.</w:t>
            </w:r>
            <w:r>
              <w:t xml:space="preserve"> </w:t>
            </w:r>
            <w:r w:rsidR="000A4A74">
              <w:t xml:space="preserve"> With the added context, </w:t>
            </w:r>
            <w:r>
              <w:t>the meaning of London switches to another city - London in Ontario.</w:t>
            </w:r>
          </w:p>
        </w:tc>
        <w:tc>
          <w:tcPr>
            <w:tcW w:w="4698" w:type="dxa"/>
          </w:tcPr>
          <w:p w:rsidR="00481040" w:rsidRDefault="00481040" w:rsidP="00481040">
            <w:r>
              <w:t>Show example “</w:t>
            </w:r>
            <w:r>
              <w:t>I’m moving to London</w:t>
            </w:r>
            <w:r>
              <w:t xml:space="preserve">. </w:t>
            </w:r>
            <w:r>
              <w:t>I hope it doesn’t get too cold in Onta</w:t>
            </w:r>
            <w:r>
              <w:t>rio.”</w:t>
            </w:r>
          </w:p>
        </w:tc>
      </w:tr>
      <w:tr w:rsidR="00164249" w:rsidTr="00164249">
        <w:tc>
          <w:tcPr>
            <w:tcW w:w="4698" w:type="dxa"/>
          </w:tcPr>
          <w:p w:rsidR="00481040" w:rsidRDefault="00481040" w:rsidP="00481040">
            <w:r>
              <w:t>In ord</w:t>
            </w:r>
            <w:r w:rsidR="00B7641D">
              <w:t xml:space="preserve">er to support this use case, you can use </w:t>
            </w:r>
            <w:r>
              <w:t xml:space="preserve">natural processing </w:t>
            </w:r>
            <w:r w:rsidR="00B7641D">
              <w:t>tools</w:t>
            </w:r>
            <w:r>
              <w:t xml:space="preserve"> to annotate the content so that</w:t>
            </w:r>
            <w:r w:rsidR="00B7641D">
              <w:t xml:space="preserve"> it can be correctly processed by translators and MT systems.</w:t>
            </w:r>
          </w:p>
          <w:p w:rsidR="00164249" w:rsidRDefault="00164249" w:rsidP="00481040"/>
        </w:tc>
        <w:tc>
          <w:tcPr>
            <w:tcW w:w="4698" w:type="dxa"/>
          </w:tcPr>
          <w:p w:rsidR="00164249" w:rsidRDefault="00164249"/>
        </w:tc>
      </w:tr>
      <w:tr w:rsidR="00164249" w:rsidTr="00B7641D">
        <w:trPr>
          <w:trHeight w:val="670"/>
        </w:trPr>
        <w:tc>
          <w:tcPr>
            <w:tcW w:w="4698" w:type="dxa"/>
          </w:tcPr>
          <w:p w:rsidR="00164249" w:rsidRDefault="00481040">
            <w:r>
              <w:t>Here I’d like to show you how you can use text analysis tools to provide the necessary markup.</w:t>
            </w:r>
          </w:p>
        </w:tc>
        <w:tc>
          <w:tcPr>
            <w:tcW w:w="4698" w:type="dxa"/>
          </w:tcPr>
          <w:p w:rsidR="00164249" w:rsidRDefault="000A4A74">
            <w:r>
              <w:t xml:space="preserve">Open </w:t>
            </w:r>
            <w:proofErr w:type="spellStart"/>
            <w:r>
              <w:t>enrycher</w:t>
            </w:r>
            <w:proofErr w:type="spellEnd"/>
          </w:p>
        </w:tc>
      </w:tr>
      <w:tr w:rsidR="00164249" w:rsidTr="00164249">
        <w:tc>
          <w:tcPr>
            <w:tcW w:w="4698" w:type="dxa"/>
          </w:tcPr>
          <w:p w:rsidR="00164249" w:rsidRDefault="00481040">
            <w:r>
              <w:t>This is Enrycher. It’s a web service that receives textual content, and returns it marked-up with identities of named entities that it finds in your text.</w:t>
            </w:r>
          </w:p>
        </w:tc>
        <w:tc>
          <w:tcPr>
            <w:tcW w:w="4698" w:type="dxa"/>
          </w:tcPr>
          <w:p w:rsidR="00164249" w:rsidRDefault="000A4A74">
            <w:r>
              <w:t>Enter content, click ‘</w:t>
            </w:r>
            <w:proofErr w:type="spellStart"/>
            <w:r>
              <w:t>enrych</w:t>
            </w:r>
            <w:proofErr w:type="spellEnd"/>
            <w:r>
              <w:t>’</w:t>
            </w:r>
          </w:p>
        </w:tc>
      </w:tr>
      <w:tr w:rsidR="00164249" w:rsidTr="00164249">
        <w:tc>
          <w:tcPr>
            <w:tcW w:w="4698" w:type="dxa"/>
          </w:tcPr>
          <w:p w:rsidR="00164249" w:rsidRDefault="00481040" w:rsidP="000A4A74">
            <w:r>
              <w:t>What you see here in the output</w:t>
            </w:r>
            <w:r w:rsidR="000A4A74">
              <w:t xml:space="preserve"> are the necessary annotations that were produces automatically. It’s valid HTML5, extended by ITS2.0 metadata. </w:t>
            </w:r>
          </w:p>
        </w:tc>
        <w:tc>
          <w:tcPr>
            <w:tcW w:w="4698" w:type="dxa"/>
          </w:tcPr>
          <w:p w:rsidR="00164249" w:rsidRDefault="000A4A74">
            <w:r>
              <w:t>Show result.</w:t>
            </w:r>
          </w:p>
          <w:p w:rsidR="000A4A74" w:rsidRDefault="000A4A74"/>
          <w:p w:rsidR="000A4A74" w:rsidRDefault="000A4A74" w:rsidP="000A4A74">
            <w:r>
              <w:t xml:space="preserve">Show ITS2.0 </w:t>
            </w:r>
            <w:r>
              <w:t>sketch</w:t>
            </w:r>
          </w:p>
        </w:tc>
      </w:tr>
      <w:tr w:rsidR="00164249" w:rsidTr="00164249">
        <w:tc>
          <w:tcPr>
            <w:tcW w:w="4698" w:type="dxa"/>
          </w:tcPr>
          <w:p w:rsidR="00164249" w:rsidRDefault="000A4A74" w:rsidP="000A4A74">
            <w:r>
              <w:t xml:space="preserve">The ITS2.0 properties give you the necessary information to handle this situation: what is the identity of London, what kind of entity is “London”, and what tool produced all this </w:t>
            </w:r>
            <w:proofErr w:type="gramStart"/>
            <w:r>
              <w:t>markup.</w:t>
            </w:r>
            <w:proofErr w:type="gramEnd"/>
          </w:p>
        </w:tc>
        <w:tc>
          <w:tcPr>
            <w:tcW w:w="4698" w:type="dxa"/>
          </w:tcPr>
          <w:p w:rsidR="00164249" w:rsidRDefault="000A4A74">
            <w:r>
              <w:t xml:space="preserve">Show </w:t>
            </w:r>
            <w:proofErr w:type="spellStart"/>
            <w:r>
              <w:t>DBp</w:t>
            </w:r>
            <w:bookmarkStart w:id="0" w:name="_GoBack"/>
            <w:bookmarkEnd w:id="0"/>
            <w:r>
              <w:t>edia</w:t>
            </w:r>
            <w:proofErr w:type="spellEnd"/>
            <w:r>
              <w:t xml:space="preserve"> page for London, </w:t>
            </w:r>
            <w:proofErr w:type="spellStart"/>
            <w:r>
              <w:t>Ontaro</w:t>
            </w:r>
            <w:proofErr w:type="spellEnd"/>
            <w:r>
              <w:t>.</w:t>
            </w:r>
          </w:p>
        </w:tc>
      </w:tr>
      <w:tr w:rsidR="000A4A74" w:rsidTr="00164249">
        <w:tc>
          <w:tcPr>
            <w:tcW w:w="4698" w:type="dxa"/>
          </w:tcPr>
          <w:p w:rsidR="000A4A74" w:rsidRDefault="000A4A74" w:rsidP="000A4A74">
            <w:r>
              <w:t>The great part about ITS2.0 being a W3C recommendation is that this kind of markup is understood by several implementations, so that integrating text analysis tools into your localization workflow is not easier than ever.</w:t>
            </w:r>
          </w:p>
        </w:tc>
        <w:tc>
          <w:tcPr>
            <w:tcW w:w="4698" w:type="dxa"/>
          </w:tcPr>
          <w:p w:rsidR="000A4A74" w:rsidRDefault="000A4A74">
            <w:r>
              <w:t>Outro</w:t>
            </w:r>
          </w:p>
        </w:tc>
      </w:tr>
    </w:tbl>
    <w:p w:rsidR="009004F4" w:rsidRDefault="000A4A74"/>
    <w:sectPr w:rsidR="009004F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101C"/>
    <w:multiLevelType w:val="hybridMultilevel"/>
    <w:tmpl w:val="9258B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49"/>
    <w:rsid w:val="000A4A74"/>
    <w:rsid w:val="00164249"/>
    <w:rsid w:val="00481040"/>
    <w:rsid w:val="004A072C"/>
    <w:rsid w:val="00B7641D"/>
    <w:rsid w:val="00D1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F271B-1F85-40DF-B705-E6A73C43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64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6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6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16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164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">
    <w:name w:val="Body Text"/>
    <w:basedOn w:val="Navaden"/>
    <w:link w:val="TelobesedilaZnak"/>
    <w:rsid w:val="00481040"/>
    <w:pPr>
      <w:suppressAutoHyphens/>
      <w:spacing w:after="120" w:line="276" w:lineRule="auto"/>
    </w:pPr>
    <w:rPr>
      <w:rFonts w:ascii="Calibri" w:eastAsia="MS Mincho" w:hAnsi="Calibri" w:cs="Calibri"/>
      <w:sz w:val="20"/>
      <w:szCs w:val="20"/>
      <w:lang w:val="en-IE" w:eastAsia="zh-CN"/>
    </w:rPr>
  </w:style>
  <w:style w:type="character" w:customStyle="1" w:styleId="TelobesedilaZnak">
    <w:name w:val="Telo besedila Znak"/>
    <w:basedOn w:val="Privzetapisavaodstavka"/>
    <w:link w:val="Telobesedila"/>
    <w:rsid w:val="00481040"/>
    <w:rPr>
      <w:rFonts w:ascii="Calibri" w:eastAsia="MS Mincho" w:hAnsi="Calibri" w:cs="Calibri"/>
      <w:sz w:val="20"/>
      <w:szCs w:val="20"/>
      <w:lang w:val="en-IE" w:eastAsia="zh-CN"/>
    </w:rPr>
  </w:style>
  <w:style w:type="paragraph" w:styleId="Odstavekseznama">
    <w:name w:val="List Paragraph"/>
    <w:basedOn w:val="Navaden"/>
    <w:uiPriority w:val="34"/>
    <w:qFormat/>
    <w:rsid w:val="0048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</dc:creator>
  <cp:keywords/>
  <dc:description/>
  <cp:lastModifiedBy>Tadej</cp:lastModifiedBy>
  <cp:revision>2</cp:revision>
  <dcterms:created xsi:type="dcterms:W3CDTF">2013-11-25T11:31:00Z</dcterms:created>
  <dcterms:modified xsi:type="dcterms:W3CDTF">2013-11-25T12:02:00Z</dcterms:modified>
</cp:coreProperties>
</file>