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27A90" w14:textId="77777777" w:rsidR="00885EA7" w:rsidRPr="00885EA7" w:rsidRDefault="00885EA7" w:rsidP="00885EA7">
      <w:pPr>
        <w:spacing w:before="120" w:after="120" w:line="276" w:lineRule="auto"/>
        <w:rPr>
          <w:rFonts w:ascii="Arial" w:hAnsi="Arial" w:cs="Arial"/>
          <w:sz w:val="24"/>
          <w:szCs w:val="24"/>
        </w:rPr>
      </w:pPr>
      <w:r w:rsidRPr="00885EA7">
        <w:rPr>
          <w:rFonts w:ascii="Arial" w:hAnsi="Arial" w:cs="Arial"/>
          <w:sz w:val="24"/>
          <w:szCs w:val="24"/>
        </w:rPr>
        <w:t xml:space="preserve">In the research phase, the working group reviewed various accessibility maturity models. These models differ in scope, structure, and intended audience. In addition to general-purpose frameworks, some are tailored to specific industries. Examples include the California Community Colleges Accessibility Capability Maturity Model (CCC ACMM) and frameworks developed by major tech companies like Microsoft. Three of the most widely referenced general models are the Digital Accessibility Maturity Model (DAMM), the NASCIO PDAA framework, and ISO 30071-1.  </w:t>
      </w:r>
    </w:p>
    <w:p w14:paraId="178FC68C" w14:textId="77777777" w:rsidR="003F1454" w:rsidRDefault="003F1454" w:rsidP="003F1454">
      <w:pPr>
        <w:spacing w:before="100" w:beforeAutospacing="1" w:after="100" w:afterAutospacing="1" w:line="276" w:lineRule="auto"/>
        <w:rPr>
          <w:rFonts w:ascii="Arial" w:eastAsia="Times New Roman" w:hAnsi="Arial" w:cs="Arial"/>
          <w:sz w:val="24"/>
          <w:szCs w:val="24"/>
        </w:rPr>
      </w:pPr>
      <w:r w:rsidRPr="003F1454">
        <w:rPr>
          <w:rFonts w:ascii="Arial" w:eastAsia="Times New Roman" w:hAnsi="Arial" w:cs="Arial"/>
          <w:sz w:val="24"/>
          <w:szCs w:val="24"/>
        </w:rPr>
        <w:t xml:space="preserve">Organizations embrace diverse accessibility maturity models to benchmark and advance their practices. </w:t>
      </w:r>
    </w:p>
    <w:p w14:paraId="1904FD50" w14:textId="189F5378" w:rsidR="003F1454" w:rsidRDefault="003F1454" w:rsidP="003F1454">
      <w:pPr>
        <w:pStyle w:val="ListParagraph"/>
        <w:numPr>
          <w:ilvl w:val="0"/>
          <w:numId w:val="3"/>
        </w:numPr>
        <w:spacing w:before="100" w:beforeAutospacing="1" w:after="100" w:afterAutospacing="1" w:line="276" w:lineRule="auto"/>
        <w:rPr>
          <w:rFonts w:ascii="Arial" w:eastAsia="Times New Roman" w:hAnsi="Arial" w:cs="Arial"/>
          <w:sz w:val="24"/>
          <w:szCs w:val="24"/>
        </w:rPr>
      </w:pPr>
      <w:r>
        <w:rPr>
          <w:rFonts w:ascii="Arial" w:eastAsia="Times New Roman" w:hAnsi="Arial" w:cs="Arial"/>
          <w:sz w:val="24"/>
          <w:szCs w:val="24"/>
        </w:rPr>
        <w:t xml:space="preserve">The Digital Accessibility Maturity Model (DAMM), developed by Level Access, measures maturity across multiple interconnected areas, evaluating each on a five-level scale.  DAMM encourages collaboration among teams and user-focused testing. </w:t>
      </w:r>
    </w:p>
    <w:p w14:paraId="388D5F86" w14:textId="62EF8C14" w:rsidR="003F1454" w:rsidRDefault="003F1454" w:rsidP="003F1454">
      <w:pPr>
        <w:pStyle w:val="ListParagraph"/>
        <w:numPr>
          <w:ilvl w:val="0"/>
          <w:numId w:val="3"/>
        </w:numPr>
        <w:spacing w:before="100" w:beforeAutospacing="1" w:after="100" w:afterAutospacing="1" w:line="276" w:lineRule="auto"/>
        <w:rPr>
          <w:rFonts w:ascii="Arial" w:eastAsia="Times New Roman" w:hAnsi="Arial" w:cs="Arial"/>
          <w:sz w:val="24"/>
          <w:szCs w:val="24"/>
        </w:rPr>
      </w:pPr>
      <w:r>
        <w:rPr>
          <w:rFonts w:ascii="Arial" w:eastAsia="Times New Roman" w:hAnsi="Arial" w:cs="Arial"/>
          <w:sz w:val="24"/>
          <w:szCs w:val="24"/>
        </w:rPr>
        <w:t xml:space="preserve">The NASCIO Procurement Digital Accessibility Assessment (PDAA) Maturity Model focuses specifically on procurement. PDAA helps agencies incorporate accessibility into policies, staff training, and vendor oversight, with tools designed for federal Section 508 compliance that can be used more widely. </w:t>
      </w:r>
    </w:p>
    <w:p w14:paraId="7F06DE93" w14:textId="4ADFE22C" w:rsidR="003F1454" w:rsidRDefault="003F1454" w:rsidP="003F1454">
      <w:pPr>
        <w:pStyle w:val="ListParagraph"/>
        <w:numPr>
          <w:ilvl w:val="0"/>
          <w:numId w:val="3"/>
        </w:numPr>
        <w:spacing w:before="100" w:beforeAutospacing="1" w:after="100" w:afterAutospacing="1" w:line="276" w:lineRule="auto"/>
        <w:rPr>
          <w:rFonts w:ascii="Arial" w:eastAsia="Times New Roman" w:hAnsi="Arial" w:cs="Arial"/>
          <w:sz w:val="24"/>
          <w:szCs w:val="24"/>
        </w:rPr>
      </w:pPr>
      <w:r w:rsidRPr="003F1454">
        <w:rPr>
          <w:rFonts w:ascii="Arial" w:eastAsia="Times New Roman" w:hAnsi="Arial" w:cs="Arial"/>
          <w:sz w:val="24"/>
          <w:szCs w:val="24"/>
        </w:rPr>
        <w:t>ISO 30071</w:t>
      </w:r>
      <w:r w:rsidRPr="003F1454">
        <w:rPr>
          <w:rFonts w:ascii="Arial" w:eastAsia="Times New Roman" w:hAnsi="Arial" w:cs="Arial"/>
          <w:sz w:val="24"/>
          <w:szCs w:val="24"/>
        </w:rPr>
        <w:noBreakHyphen/>
        <w:t>1 evolved from the UK BS 8878 framework</w:t>
      </w:r>
      <w:r>
        <w:rPr>
          <w:rFonts w:ascii="Arial" w:eastAsia="Times New Roman" w:hAnsi="Arial" w:cs="Arial"/>
          <w:sz w:val="24"/>
          <w:szCs w:val="24"/>
        </w:rPr>
        <w:t xml:space="preserve">.  It </w:t>
      </w:r>
      <w:r w:rsidRPr="003F1454">
        <w:rPr>
          <w:rFonts w:ascii="Arial" w:eastAsia="Times New Roman" w:hAnsi="Arial" w:cs="Arial"/>
          <w:sz w:val="24"/>
          <w:szCs w:val="24"/>
        </w:rPr>
        <w:t>extends its influence globally by guiding organizations in weaving accessibility into ICT policy, development lifecycle, risk control, quality assurance, and procurement standards</w:t>
      </w:r>
      <w:r w:rsidRPr="003F1454">
        <w:rPr>
          <w:rFonts w:ascii="Arial" w:eastAsia="Times New Roman" w:hAnsi="Arial" w:cs="Arial"/>
          <w:sz w:val="24"/>
          <w:szCs w:val="24"/>
        </w:rPr>
        <w:t xml:space="preserve">.  </w:t>
      </w:r>
    </w:p>
    <w:p w14:paraId="17E1BFB3" w14:textId="77777777" w:rsidR="003F1454" w:rsidRDefault="003F1454" w:rsidP="003F1454">
      <w:pPr>
        <w:pStyle w:val="ListParagraph"/>
        <w:numPr>
          <w:ilvl w:val="0"/>
          <w:numId w:val="3"/>
        </w:numPr>
        <w:spacing w:before="100" w:beforeAutospacing="1" w:after="100" w:afterAutospacing="1" w:line="276" w:lineRule="auto"/>
        <w:rPr>
          <w:rFonts w:ascii="Arial" w:eastAsia="Times New Roman" w:hAnsi="Arial" w:cs="Arial"/>
          <w:sz w:val="24"/>
          <w:szCs w:val="24"/>
        </w:rPr>
      </w:pPr>
      <w:r w:rsidRPr="003F1454">
        <w:rPr>
          <w:rFonts w:ascii="Arial" w:eastAsia="Times New Roman" w:hAnsi="Arial" w:cs="Arial"/>
          <w:sz w:val="24"/>
          <w:szCs w:val="24"/>
        </w:rPr>
        <w:t xml:space="preserve">The CCC ACMM addresses </w:t>
      </w:r>
      <w:r w:rsidRPr="003F1454">
        <w:rPr>
          <w:rFonts w:ascii="Arial" w:eastAsia="Times New Roman" w:hAnsi="Arial" w:cs="Arial"/>
          <w:sz w:val="24"/>
          <w:szCs w:val="24"/>
        </w:rPr>
        <w:t>California’s community colleges' unique needs</w:t>
      </w:r>
      <w:r w:rsidRPr="003F1454">
        <w:rPr>
          <w:rFonts w:ascii="Arial" w:eastAsia="Times New Roman" w:hAnsi="Arial" w:cs="Arial"/>
          <w:sz w:val="24"/>
          <w:szCs w:val="24"/>
        </w:rPr>
        <w:t xml:space="preserve"> by detailing five progressive stages across governance, content creation, procurement, and staff development, acknowledging the decentralized nature of higher education. </w:t>
      </w:r>
    </w:p>
    <w:p w14:paraId="6EA11BD9" w14:textId="369C5280" w:rsidR="003F1454" w:rsidRDefault="003F1454" w:rsidP="003F1454">
      <w:pPr>
        <w:spacing w:before="120" w:after="120" w:line="276" w:lineRule="auto"/>
        <w:rPr>
          <w:rFonts w:ascii="Arial" w:hAnsi="Arial" w:cs="Arial"/>
          <w:sz w:val="24"/>
          <w:szCs w:val="24"/>
        </w:rPr>
      </w:pPr>
      <w:r>
        <w:rPr>
          <w:rFonts w:ascii="Arial" w:hAnsi="Arial" w:cs="Arial"/>
          <w:sz w:val="24"/>
          <w:szCs w:val="24"/>
        </w:rPr>
        <w:t>Many proprietary accessibility maturity models exist, but they often lack transparency about their methodology or scoring. In many cases, these models serve more as marketing tools to attract consulting clients rather than as open, replicable resources that support independent program development. This makes it more difficult and expensive for smaller organizations and public institutions to engage meaningfully with these frameworks. Publicly available models like the W3C Accessibility Maturity Model provide a free framework that can be used without external consulting services.</w:t>
      </w:r>
    </w:p>
    <w:p w14:paraId="76B8762A" w14:textId="3138270C" w:rsidR="003F1454" w:rsidRPr="003F1454" w:rsidRDefault="003F1454" w:rsidP="003F1454">
      <w:pPr>
        <w:spacing w:after="0" w:line="240" w:lineRule="auto"/>
        <w:rPr>
          <w:rFonts w:ascii="Times New Roman" w:eastAsia="Times New Roman" w:hAnsi="Times New Roman" w:cs="Times New Roman"/>
          <w:sz w:val="24"/>
          <w:szCs w:val="24"/>
        </w:rPr>
      </w:pPr>
    </w:p>
    <w:p w14:paraId="566955D2" w14:textId="77777777" w:rsidR="003F1454" w:rsidRDefault="003F1454">
      <w:pPr>
        <w:rPr>
          <w:rFonts w:ascii="Arial" w:eastAsia="Times New Roman" w:hAnsi="Arial" w:cs="Arial"/>
          <w:b/>
          <w:bCs/>
          <w:sz w:val="24"/>
          <w:szCs w:val="24"/>
        </w:rPr>
      </w:pPr>
      <w:r>
        <w:rPr>
          <w:rFonts w:ascii="Arial" w:eastAsia="Times New Roman" w:hAnsi="Arial" w:cs="Arial"/>
          <w:b/>
          <w:bCs/>
          <w:sz w:val="24"/>
          <w:szCs w:val="24"/>
        </w:rPr>
        <w:br w:type="page"/>
      </w:r>
    </w:p>
    <w:p w14:paraId="1D9A23C5" w14:textId="3069658B" w:rsidR="003F1454" w:rsidRPr="003F1454" w:rsidRDefault="003F1454" w:rsidP="003F1454">
      <w:pPr>
        <w:spacing w:before="100" w:beforeAutospacing="1" w:after="100" w:afterAutospacing="1" w:line="276" w:lineRule="auto"/>
        <w:rPr>
          <w:rFonts w:ascii="Arial" w:eastAsia="Times New Roman" w:hAnsi="Arial" w:cs="Arial"/>
          <w:sz w:val="24"/>
          <w:szCs w:val="24"/>
        </w:rPr>
      </w:pPr>
      <w:r w:rsidRPr="003F1454">
        <w:rPr>
          <w:rFonts w:ascii="Arial" w:eastAsia="Times New Roman" w:hAnsi="Arial" w:cs="Arial"/>
          <w:b/>
          <w:bCs/>
          <w:sz w:val="24"/>
          <w:szCs w:val="24"/>
        </w:rPr>
        <w:lastRenderedPageBreak/>
        <w:t>References</w:t>
      </w:r>
    </w:p>
    <w:p w14:paraId="3D5AEF71" w14:textId="77777777" w:rsidR="003F1454" w:rsidRPr="003F1454" w:rsidRDefault="003F1454" w:rsidP="003F1454">
      <w:pPr>
        <w:numPr>
          <w:ilvl w:val="0"/>
          <w:numId w:val="2"/>
        </w:numPr>
        <w:spacing w:before="100" w:beforeAutospacing="1" w:after="100" w:afterAutospacing="1" w:line="276" w:lineRule="auto"/>
        <w:rPr>
          <w:rFonts w:ascii="Arial" w:eastAsia="Times New Roman" w:hAnsi="Arial" w:cs="Arial"/>
          <w:sz w:val="24"/>
          <w:szCs w:val="24"/>
        </w:rPr>
      </w:pPr>
      <w:r w:rsidRPr="003F1454">
        <w:rPr>
          <w:rFonts w:ascii="Arial" w:eastAsia="Times New Roman" w:hAnsi="Arial" w:cs="Arial"/>
          <w:sz w:val="24"/>
          <w:szCs w:val="24"/>
        </w:rPr>
        <w:t>Digital Accessibility Maturity Model (DAMM) – Level Access</w:t>
      </w:r>
      <w:r w:rsidRPr="003F1454">
        <w:rPr>
          <w:rFonts w:ascii="Arial" w:eastAsia="Times New Roman" w:hAnsi="Arial" w:cs="Arial"/>
          <w:sz w:val="24"/>
          <w:szCs w:val="24"/>
        </w:rPr>
        <w:br/>
        <w:t>https://www.levelaccess.com/digital-accessibility-maturity-model/</w:t>
      </w:r>
    </w:p>
    <w:p w14:paraId="64A0A8B3" w14:textId="77777777" w:rsidR="003F1454" w:rsidRPr="003F1454" w:rsidRDefault="003F1454" w:rsidP="003F1454">
      <w:pPr>
        <w:numPr>
          <w:ilvl w:val="0"/>
          <w:numId w:val="2"/>
        </w:numPr>
        <w:spacing w:before="100" w:beforeAutospacing="1" w:after="100" w:afterAutospacing="1" w:line="276" w:lineRule="auto"/>
        <w:rPr>
          <w:rFonts w:ascii="Arial" w:eastAsia="Times New Roman" w:hAnsi="Arial" w:cs="Arial"/>
          <w:sz w:val="24"/>
          <w:szCs w:val="24"/>
        </w:rPr>
      </w:pPr>
      <w:r w:rsidRPr="003F1454">
        <w:rPr>
          <w:rFonts w:ascii="Arial" w:eastAsia="Times New Roman" w:hAnsi="Arial" w:cs="Arial"/>
          <w:sz w:val="24"/>
          <w:szCs w:val="24"/>
        </w:rPr>
        <w:t>NASCIO Procurement Digital Accessibility Assessment (PDAA) Maturity Model</w:t>
      </w:r>
      <w:r w:rsidRPr="003F1454">
        <w:rPr>
          <w:rFonts w:ascii="Arial" w:eastAsia="Times New Roman" w:hAnsi="Arial" w:cs="Arial"/>
          <w:sz w:val="24"/>
          <w:szCs w:val="24"/>
        </w:rPr>
        <w:br/>
        <w:t>https://www.nascio.org/resource-center/resources/procurement-digital-accessibility-assessment-pdaa-maturity-model/</w:t>
      </w:r>
    </w:p>
    <w:p w14:paraId="0274D564" w14:textId="77777777" w:rsidR="003F1454" w:rsidRPr="003F1454" w:rsidRDefault="003F1454" w:rsidP="003F1454">
      <w:pPr>
        <w:numPr>
          <w:ilvl w:val="0"/>
          <w:numId w:val="2"/>
        </w:numPr>
        <w:spacing w:before="100" w:beforeAutospacing="1" w:after="100" w:afterAutospacing="1" w:line="276" w:lineRule="auto"/>
        <w:rPr>
          <w:rFonts w:ascii="Arial" w:eastAsia="Times New Roman" w:hAnsi="Arial" w:cs="Arial"/>
          <w:sz w:val="24"/>
          <w:szCs w:val="24"/>
        </w:rPr>
      </w:pPr>
      <w:r w:rsidRPr="003F1454">
        <w:rPr>
          <w:rFonts w:ascii="Arial" w:eastAsia="Times New Roman" w:hAnsi="Arial" w:cs="Arial"/>
          <w:sz w:val="24"/>
          <w:szCs w:val="24"/>
        </w:rPr>
        <w:t>ISO/IEC 30071</w:t>
      </w:r>
      <w:r w:rsidRPr="003F1454">
        <w:rPr>
          <w:rFonts w:ascii="Arial" w:eastAsia="Times New Roman" w:hAnsi="Arial" w:cs="Arial"/>
          <w:sz w:val="24"/>
          <w:szCs w:val="24"/>
        </w:rPr>
        <w:noBreakHyphen/>
        <w:t>1:2019 – Code of practice for accessible ICT systems</w:t>
      </w:r>
      <w:r w:rsidRPr="003F1454">
        <w:rPr>
          <w:rFonts w:ascii="Arial" w:eastAsia="Times New Roman" w:hAnsi="Arial" w:cs="Arial"/>
          <w:sz w:val="24"/>
          <w:szCs w:val="24"/>
        </w:rPr>
        <w:br/>
        <w:t>https://www.iso.org/standard/70913.html</w:t>
      </w:r>
    </w:p>
    <w:p w14:paraId="572B0231" w14:textId="77777777" w:rsidR="003F1454" w:rsidRPr="003F1454" w:rsidRDefault="003F1454" w:rsidP="003F1454">
      <w:pPr>
        <w:numPr>
          <w:ilvl w:val="0"/>
          <w:numId w:val="2"/>
        </w:numPr>
        <w:spacing w:before="100" w:beforeAutospacing="1" w:after="100" w:afterAutospacing="1" w:line="276" w:lineRule="auto"/>
        <w:rPr>
          <w:rFonts w:ascii="Arial" w:eastAsia="Times New Roman" w:hAnsi="Arial" w:cs="Arial"/>
          <w:sz w:val="24"/>
          <w:szCs w:val="24"/>
        </w:rPr>
      </w:pPr>
      <w:r w:rsidRPr="003F1454">
        <w:rPr>
          <w:rFonts w:ascii="Arial" w:eastAsia="Times New Roman" w:hAnsi="Arial" w:cs="Arial"/>
          <w:sz w:val="24"/>
          <w:szCs w:val="24"/>
        </w:rPr>
        <w:t>California Community Colleges Accessibility Capability Maturity Model (CCC ACMM)</w:t>
      </w:r>
      <w:r w:rsidRPr="003F1454">
        <w:rPr>
          <w:rFonts w:ascii="Arial" w:eastAsia="Times New Roman" w:hAnsi="Arial" w:cs="Arial"/>
          <w:sz w:val="24"/>
          <w:szCs w:val="24"/>
        </w:rPr>
        <w:br/>
        <w:t>https://cvc.edu/about-the-oei/accessibility/accessibility-capability-maturity-model/</w:t>
      </w:r>
    </w:p>
    <w:p w14:paraId="27FFF9BB" w14:textId="77777777" w:rsidR="003F1454" w:rsidRPr="003F1454" w:rsidRDefault="003F1454" w:rsidP="003F1454">
      <w:pPr>
        <w:numPr>
          <w:ilvl w:val="0"/>
          <w:numId w:val="2"/>
        </w:numPr>
        <w:spacing w:before="100" w:beforeAutospacing="1" w:after="100" w:afterAutospacing="1" w:line="276" w:lineRule="auto"/>
        <w:rPr>
          <w:rFonts w:ascii="Arial" w:eastAsia="Times New Roman" w:hAnsi="Arial" w:cs="Arial"/>
          <w:sz w:val="24"/>
          <w:szCs w:val="24"/>
        </w:rPr>
      </w:pPr>
      <w:r w:rsidRPr="003F1454">
        <w:rPr>
          <w:rFonts w:ascii="Arial" w:eastAsia="Times New Roman" w:hAnsi="Arial" w:cs="Arial"/>
          <w:sz w:val="24"/>
          <w:szCs w:val="24"/>
        </w:rPr>
        <w:t>Microsoft Accessibility Evolution Model (AEM)</w:t>
      </w:r>
      <w:r w:rsidRPr="003F1454">
        <w:rPr>
          <w:rFonts w:ascii="Arial" w:eastAsia="Times New Roman" w:hAnsi="Arial" w:cs="Arial"/>
          <w:sz w:val="24"/>
          <w:szCs w:val="24"/>
        </w:rPr>
        <w:br/>
      </w:r>
      <w:hyperlink r:id="rId5" w:tgtFrame="_new" w:history="1">
        <w:r w:rsidRPr="003F1454">
          <w:rPr>
            <w:rFonts w:ascii="Arial" w:eastAsia="Times New Roman" w:hAnsi="Arial" w:cs="Arial"/>
            <w:color w:val="0000FF"/>
            <w:sz w:val="24"/>
            <w:szCs w:val="24"/>
            <w:u w:val="single"/>
          </w:rPr>
          <w:t>https://blogs.microsoft.com/accessibility/accessibility-evolution-model/</w:t>
        </w:r>
      </w:hyperlink>
    </w:p>
    <w:p w14:paraId="24D3C6EC" w14:textId="77777777" w:rsidR="003F1454" w:rsidRDefault="003F1454">
      <w:pPr>
        <w:rPr>
          <w:rFonts w:ascii="Arial" w:hAnsi="Arial" w:cs="Arial"/>
          <w:sz w:val="24"/>
          <w:szCs w:val="24"/>
        </w:rPr>
      </w:pPr>
      <w:r>
        <w:rPr>
          <w:rFonts w:ascii="Arial" w:hAnsi="Arial" w:cs="Arial"/>
          <w:sz w:val="24"/>
          <w:szCs w:val="24"/>
        </w:rPr>
        <w:br w:type="page"/>
      </w:r>
    </w:p>
    <w:p w14:paraId="3BC0BB04" w14:textId="0BFD33DA" w:rsidR="00712B96" w:rsidRPr="00885EA7" w:rsidRDefault="003F1454" w:rsidP="00885EA7">
      <w:pPr>
        <w:spacing w:before="120" w:after="120" w:line="276" w:lineRule="auto"/>
        <w:rPr>
          <w:rFonts w:ascii="Arial" w:hAnsi="Arial" w:cs="Arial"/>
          <w:sz w:val="24"/>
          <w:szCs w:val="24"/>
        </w:rPr>
      </w:pPr>
      <w:r>
        <w:rPr>
          <w:rFonts w:ascii="Arial" w:hAnsi="Arial" w:cs="Arial"/>
          <w:sz w:val="24"/>
          <w:szCs w:val="24"/>
        </w:rPr>
        <w:lastRenderedPageBreak/>
        <w:t>Research</w:t>
      </w:r>
    </w:p>
    <w:sectPr w:rsidR="00712B96" w:rsidRPr="00885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0DB"/>
    <w:multiLevelType w:val="hybridMultilevel"/>
    <w:tmpl w:val="0B4C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1C6485"/>
    <w:multiLevelType w:val="hybridMultilevel"/>
    <w:tmpl w:val="41D8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5B5F08"/>
    <w:multiLevelType w:val="multilevel"/>
    <w:tmpl w:val="20002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6505250">
    <w:abstractNumId w:val="1"/>
  </w:num>
  <w:num w:numId="2" w16cid:durableId="1851482927">
    <w:abstractNumId w:val="2"/>
  </w:num>
  <w:num w:numId="3" w16cid:durableId="189150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A7"/>
    <w:rsid w:val="00247273"/>
    <w:rsid w:val="003F1454"/>
    <w:rsid w:val="00712B96"/>
    <w:rsid w:val="007534BC"/>
    <w:rsid w:val="00885EA7"/>
    <w:rsid w:val="008C694D"/>
    <w:rsid w:val="00BE49EB"/>
    <w:rsid w:val="00FC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3E035"/>
  <w15:chartTrackingRefBased/>
  <w15:docId w15:val="{F31D409E-DE48-46FC-AF4B-145E1E9ED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E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5E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5E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5E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5E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5E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E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E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E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E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5E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5E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5E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5E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5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EA7"/>
    <w:rPr>
      <w:rFonts w:eastAsiaTheme="majorEastAsia" w:cstheme="majorBidi"/>
      <w:color w:val="272727" w:themeColor="text1" w:themeTint="D8"/>
    </w:rPr>
  </w:style>
  <w:style w:type="paragraph" w:styleId="Title">
    <w:name w:val="Title"/>
    <w:basedOn w:val="Normal"/>
    <w:next w:val="Normal"/>
    <w:link w:val="TitleChar"/>
    <w:uiPriority w:val="10"/>
    <w:qFormat/>
    <w:rsid w:val="00885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E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EA7"/>
    <w:pPr>
      <w:spacing w:before="160"/>
      <w:jc w:val="center"/>
    </w:pPr>
    <w:rPr>
      <w:i/>
      <w:iCs/>
      <w:color w:val="404040" w:themeColor="text1" w:themeTint="BF"/>
    </w:rPr>
  </w:style>
  <w:style w:type="character" w:customStyle="1" w:styleId="QuoteChar">
    <w:name w:val="Quote Char"/>
    <w:basedOn w:val="DefaultParagraphFont"/>
    <w:link w:val="Quote"/>
    <w:uiPriority w:val="29"/>
    <w:rsid w:val="00885EA7"/>
    <w:rPr>
      <w:i/>
      <w:iCs/>
      <w:color w:val="404040" w:themeColor="text1" w:themeTint="BF"/>
    </w:rPr>
  </w:style>
  <w:style w:type="paragraph" w:styleId="ListParagraph">
    <w:name w:val="List Paragraph"/>
    <w:basedOn w:val="Normal"/>
    <w:uiPriority w:val="34"/>
    <w:qFormat/>
    <w:rsid w:val="00885EA7"/>
    <w:pPr>
      <w:ind w:left="720"/>
      <w:contextualSpacing/>
    </w:pPr>
  </w:style>
  <w:style w:type="character" w:styleId="IntenseEmphasis">
    <w:name w:val="Intense Emphasis"/>
    <w:basedOn w:val="DefaultParagraphFont"/>
    <w:uiPriority w:val="21"/>
    <w:qFormat/>
    <w:rsid w:val="00885EA7"/>
    <w:rPr>
      <w:i/>
      <w:iCs/>
      <w:color w:val="2F5496" w:themeColor="accent1" w:themeShade="BF"/>
    </w:rPr>
  </w:style>
  <w:style w:type="paragraph" w:styleId="IntenseQuote">
    <w:name w:val="Intense Quote"/>
    <w:basedOn w:val="Normal"/>
    <w:next w:val="Normal"/>
    <w:link w:val="IntenseQuoteChar"/>
    <w:uiPriority w:val="30"/>
    <w:qFormat/>
    <w:rsid w:val="00885E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5EA7"/>
    <w:rPr>
      <w:i/>
      <w:iCs/>
      <w:color w:val="2F5496" w:themeColor="accent1" w:themeShade="BF"/>
    </w:rPr>
  </w:style>
  <w:style w:type="character" w:styleId="IntenseReference">
    <w:name w:val="Intense Reference"/>
    <w:basedOn w:val="DefaultParagraphFont"/>
    <w:uiPriority w:val="32"/>
    <w:qFormat/>
    <w:rsid w:val="00885EA7"/>
    <w:rPr>
      <w:b/>
      <w:bCs/>
      <w:smallCaps/>
      <w:color w:val="2F5496" w:themeColor="accent1" w:themeShade="BF"/>
      <w:spacing w:val="5"/>
    </w:rPr>
  </w:style>
  <w:style w:type="paragraph" w:styleId="NormalWeb">
    <w:name w:val="Normal (Web)"/>
    <w:basedOn w:val="Normal"/>
    <w:uiPriority w:val="99"/>
    <w:semiHidden/>
    <w:unhideWhenUsed/>
    <w:rsid w:val="003F14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3F1454"/>
  </w:style>
  <w:style w:type="character" w:customStyle="1" w:styleId="ms-1">
    <w:name w:val="ms-1"/>
    <w:basedOn w:val="DefaultParagraphFont"/>
    <w:rsid w:val="003F1454"/>
  </w:style>
  <w:style w:type="character" w:styleId="Hyperlink">
    <w:name w:val="Hyperlink"/>
    <w:basedOn w:val="DefaultParagraphFont"/>
    <w:uiPriority w:val="99"/>
    <w:semiHidden/>
    <w:unhideWhenUsed/>
    <w:rsid w:val="003F1454"/>
    <w:rPr>
      <w:color w:val="0000FF"/>
      <w:u w:val="single"/>
    </w:rPr>
  </w:style>
  <w:style w:type="character" w:customStyle="1" w:styleId="max-w-full">
    <w:name w:val="max-w-full"/>
    <w:basedOn w:val="DefaultParagraphFont"/>
    <w:rsid w:val="003F1454"/>
  </w:style>
  <w:style w:type="character" w:customStyle="1" w:styleId="-me-1">
    <w:name w:val="-me-1"/>
    <w:basedOn w:val="DefaultParagraphFont"/>
    <w:rsid w:val="003F1454"/>
  </w:style>
  <w:style w:type="character" w:styleId="Strong">
    <w:name w:val="Strong"/>
    <w:basedOn w:val="DefaultParagraphFont"/>
    <w:uiPriority w:val="22"/>
    <w:qFormat/>
    <w:rsid w:val="003F14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4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ogs.microsoft.com/accessibility/accessibility-evolution-mode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356</Words>
  <Characters>2736</Characters>
  <Application>Microsoft Office Word</Application>
  <DocSecurity>0</DocSecurity>
  <Lines>50</Lines>
  <Paragraphs>16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Byrne-Haber</dc:creator>
  <cp:keywords/>
  <dc:description/>
  <cp:lastModifiedBy>Sheri Byrne-Haber</cp:lastModifiedBy>
  <cp:revision>2</cp:revision>
  <dcterms:created xsi:type="dcterms:W3CDTF">2025-06-25T12:22:00Z</dcterms:created>
  <dcterms:modified xsi:type="dcterms:W3CDTF">2025-06-25T12:22:00Z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c81dd795-aef3-415e-b089-64974b2e77df</vt:lpwstr>
  </property>
</Properties>
</file>