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E848" w14:textId="38C055EF" w:rsidR="64B1FE87" w:rsidRDefault="64B1FE87" w:rsidP="188700AE">
      <w:pPr>
        <w:pStyle w:val="Heading1"/>
      </w:pPr>
      <w:r>
        <w:t>0PN Decentralized Gov Framework</w:t>
      </w:r>
    </w:p>
    <w:p w14:paraId="4C02622F" w14:textId="65ACA6C9" w:rsidR="64B1FE87" w:rsidRDefault="64B1FE87" w:rsidP="188700AE">
      <w:pPr>
        <w:pStyle w:val="Subtitle"/>
      </w:pPr>
      <w:r>
        <w:t>Trustworthy ID Architecture</w:t>
      </w:r>
      <w:r>
        <w:br/>
      </w:r>
    </w:p>
    <w:p w14:paraId="29ADF2EC" w14:textId="6C970B37" w:rsidR="737A5F5B" w:rsidRDefault="737A5F5B">
      <w:r>
        <w:t>The presentation of the 0PN</w:t>
      </w:r>
      <w:r w:rsidR="00422562">
        <w:rPr>
          <w:rStyle w:val="EndnoteReference"/>
        </w:rPr>
        <w:endnoteReference w:id="2"/>
      </w:r>
      <w:r>
        <w:t xml:space="preserve"> System Architecture touches on all topics but </w:t>
      </w:r>
      <w:r w:rsidR="00AB3018">
        <w:t xml:space="preserve">first </w:t>
      </w:r>
      <w:r>
        <w:t xml:space="preserve">requires a description of governance and risk vectors, before introducing, the 0PN: </w:t>
      </w:r>
      <w:proofErr w:type="spellStart"/>
      <w:r>
        <w:t>eNotary</w:t>
      </w:r>
      <w:proofErr w:type="spellEnd"/>
      <w:r>
        <w:t xml:space="preserve">, trustworthy </w:t>
      </w:r>
      <w:r w:rsidR="00AB3018">
        <w:t>ID</w:t>
      </w:r>
      <w:r w:rsidR="00DF6F14">
        <w:t xml:space="preserve"> </w:t>
      </w:r>
      <w:proofErr w:type="spellStart"/>
      <w:r w:rsidR="00DF6F14">
        <w:t>eNotice</w:t>
      </w:r>
      <w:proofErr w:type="spellEnd"/>
      <w:r w:rsidR="00DF6F14">
        <w:t xml:space="preserve"> </w:t>
      </w:r>
      <w:r>
        <w:t>system architecture, to address the governance and risk vectors highlighted with electronic consent.  Addressed here from the human centric data control perspective</w:t>
      </w:r>
      <w:r w:rsidR="00AB3018">
        <w:t xml:space="preserve"> on</w:t>
      </w:r>
      <w:r>
        <w:t xml:space="preserve"> the premise </w:t>
      </w:r>
      <w:r w:rsidR="00AB3018">
        <w:t>that</w:t>
      </w:r>
      <w:r w:rsidR="00DF6F14">
        <w:t xml:space="preserve"> </w:t>
      </w:r>
      <w:r>
        <w:t xml:space="preserve">trustworthy </w:t>
      </w:r>
      <w:r w:rsidR="00AB3018">
        <w:t>ID</w:t>
      </w:r>
      <w:r w:rsidR="00DF6F14">
        <w:t xml:space="preserve"> </w:t>
      </w:r>
      <w:r>
        <w:t xml:space="preserve">is </w:t>
      </w:r>
      <w:r w:rsidR="00A96785">
        <w:t>asserted</w:t>
      </w:r>
      <w:r>
        <w:t xml:space="preserve"> </w:t>
      </w:r>
      <w:r w:rsidR="00A96785">
        <w:t>with</w:t>
      </w:r>
      <w:r>
        <w:t xml:space="preserve"> records </w:t>
      </w:r>
      <w:r w:rsidR="00A96785">
        <w:t>the individual</w:t>
      </w:r>
      <w:r>
        <w:t xml:space="preserve"> control</w:t>
      </w:r>
      <w:r w:rsidR="00A96785">
        <w:t>s</w:t>
      </w:r>
      <w:r>
        <w:t>. Rather than records that are controlled for me</w:t>
      </w:r>
      <w:r w:rsidR="00DF6F14">
        <w:t xml:space="preserve"> by Controllers and Processors</w:t>
      </w:r>
      <w:r>
        <w:t xml:space="preserve">. </w:t>
      </w:r>
    </w:p>
    <w:p w14:paraId="3A5FB959" w14:textId="79CE08E2" w:rsidR="737A5F5B" w:rsidRDefault="737A5F5B" w:rsidP="188700AE">
      <w:pPr>
        <w:pStyle w:val="Heading1"/>
        <w:rPr>
          <w:rFonts w:ascii="Calibri Light" w:hAnsi="Calibri Light"/>
        </w:rPr>
      </w:pPr>
      <w:r>
        <w:t>Part 1: Governance &amp; Risk</w:t>
      </w:r>
      <w:r w:rsidR="009B3726">
        <w:t xml:space="preserve"> </w:t>
      </w:r>
      <w:r w:rsidR="002054F4">
        <w:t xml:space="preserve">(Data Control Assurance </w:t>
      </w:r>
      <w:r w:rsidR="009B3726">
        <w:t>Framew</w:t>
      </w:r>
      <w:r w:rsidR="002054F4">
        <w:t>ork)</w:t>
      </w:r>
    </w:p>
    <w:p w14:paraId="13B7425B" w14:textId="6592A185" w:rsidR="737A5F5B" w:rsidRDefault="64B1FE87" w:rsidP="737A5F5B">
      <w:r>
        <w:t xml:space="preserve">In governance and risk discourse, </w:t>
      </w:r>
      <w:proofErr w:type="gramStart"/>
      <w:r>
        <w:t>research</w:t>
      </w:r>
      <w:proofErr w:type="gramEnd"/>
      <w:r>
        <w:t xml:space="preserve"> and legal instrument modelling, we identified that a fundamental vector of governance, personal data control, has </w:t>
      </w:r>
      <w:bookmarkStart w:id="0" w:name="_Int_nITVPpyF"/>
      <w:r>
        <w:t>been</w:t>
      </w:r>
      <w:bookmarkEnd w:id="0"/>
      <w:r>
        <w:t xml:space="preserve"> largely missing.  As a result, the architecture presented prioritizes the human control vector of personal data control interoperability, then applies a privacy risk and security assurance model in accordance with security assurance requirements of this vector. </w:t>
      </w:r>
    </w:p>
    <w:p w14:paraId="52382352" w14:textId="1048AA92" w:rsidR="0005680F" w:rsidRDefault="64B1FE87" w:rsidP="0005680F">
      <w:r>
        <w:t xml:space="preserve">There are 3 vectors of digital identity governance with different privacy risks and security measures for trustworthy digital identifier management; each of those vectors has 3 tiers of digital identifier risk assurance </w:t>
      </w:r>
    </w:p>
    <w:p w14:paraId="6F73F48C" w14:textId="6856B315" w:rsidR="737A5F5B" w:rsidRDefault="64B1FE87" w:rsidP="188700AE">
      <w:pPr>
        <w:pStyle w:val="Heading2"/>
        <w:rPr>
          <w:rFonts w:ascii="Calibri Light" w:hAnsi="Calibri Light"/>
          <w:b/>
          <w:bCs/>
        </w:rPr>
      </w:pPr>
      <w:r>
        <w:t>3 Vectors of Governance Risk</w:t>
      </w:r>
    </w:p>
    <w:p w14:paraId="050AEEFB" w14:textId="17AE2A21" w:rsidR="737A5F5B" w:rsidRDefault="737A5F5B" w:rsidP="737A5F5B">
      <w:r>
        <w:t>1. Personal Data Control</w:t>
      </w:r>
      <w:r w:rsidR="007A10CB">
        <w:t xml:space="preserve">:  a reduced risk vector as data control and transparency is managed by the </w:t>
      </w:r>
      <w:proofErr w:type="gramStart"/>
      <w:r w:rsidR="007A10CB">
        <w:t>individual, and</w:t>
      </w:r>
      <w:proofErr w:type="gramEnd"/>
      <w:r w:rsidR="007A10CB">
        <w:t xml:space="preserve"> is indicative of decentralized digital identity transparency. </w:t>
      </w:r>
    </w:p>
    <w:p w14:paraId="1B12FEE8" w14:textId="06FA8F38" w:rsidR="737A5F5B" w:rsidRDefault="737A5F5B" w:rsidP="737A5F5B">
      <w:r>
        <w:t xml:space="preserve">2. Co-Regulated Data Control </w:t>
      </w:r>
      <w:r w:rsidR="007A10CB">
        <w:t xml:space="preserve">– shared transparency and data </w:t>
      </w:r>
      <w:proofErr w:type="gramStart"/>
      <w:r w:rsidR="007A10CB">
        <w:t xml:space="preserve">control, </w:t>
      </w:r>
      <w:r>
        <w:t xml:space="preserve"> </w:t>
      </w:r>
      <w:r w:rsidR="00B94587">
        <w:t>identifier</w:t>
      </w:r>
      <w:r w:rsidR="007A10CB">
        <w:t>’s</w:t>
      </w:r>
      <w:proofErr w:type="gramEnd"/>
      <w:r w:rsidR="007A10CB">
        <w:t xml:space="preserve"> are distributed</w:t>
      </w:r>
      <w:r>
        <w:t>.</w:t>
      </w:r>
    </w:p>
    <w:p w14:paraId="7983134F" w14:textId="6A33F987" w:rsidR="737A5F5B" w:rsidRDefault="737A5F5B" w:rsidP="737A5F5B">
      <w:r>
        <w:t xml:space="preserve">3. Data Protection </w:t>
      </w:r>
      <w:r w:rsidR="007A10CB">
        <w:t>–</w:t>
      </w:r>
      <w:r>
        <w:t xml:space="preserve"> </w:t>
      </w:r>
      <w:r w:rsidR="007A10CB">
        <w:t>defined in regulation typically a</w:t>
      </w:r>
      <w:r>
        <w:t xml:space="preserve"> centralized data control </w:t>
      </w:r>
      <w:r w:rsidR="007A10CB">
        <w:t xml:space="preserve">model with </w:t>
      </w:r>
      <w:r>
        <w:t>federated identity management</w:t>
      </w:r>
      <w:r w:rsidR="007A10CB">
        <w:t xml:space="preserve"> system</w:t>
      </w:r>
    </w:p>
    <w:p w14:paraId="1AE95FC1" w14:textId="03BEA152" w:rsidR="0005680F" w:rsidRDefault="64B1FE87" w:rsidP="188700AE">
      <w:pPr>
        <w:pStyle w:val="Heading2"/>
      </w:pPr>
      <w:r>
        <w:t xml:space="preserve">3 Tiers of Risk Assurance </w:t>
      </w:r>
    </w:p>
    <w:p w14:paraId="433F84AE" w14:textId="6CE73F10" w:rsidR="007A10CB" w:rsidRPr="007A10CB" w:rsidRDefault="007A10CB" w:rsidP="007A10CB">
      <w:r>
        <w:t xml:space="preserve">Each vector of the data control governance vectors has 3 tiers of digital identifier risk assurance </w:t>
      </w:r>
    </w:p>
    <w:p w14:paraId="069DB4F9" w14:textId="48636EF5" w:rsidR="737A5F5B" w:rsidRDefault="737A5F5B" w:rsidP="737A5F5B">
      <w:r>
        <w:t>1.Self</w:t>
      </w:r>
      <w:r w:rsidR="001B20B6">
        <w:noBreakHyphen/>
        <w:t>Asserted</w:t>
      </w:r>
      <w:r>
        <w:t xml:space="preserve"> Assurance - Controller Credential usable for hyper</w:t>
      </w:r>
      <w:r w:rsidR="001B20B6">
        <w:noBreakHyphen/>
      </w:r>
      <w:r>
        <w:t xml:space="preserve"> localized</w:t>
      </w:r>
      <w:r w:rsidR="001B20B6">
        <w:t>,</w:t>
      </w:r>
      <w:r>
        <w:t xml:space="preserve"> - in</w:t>
      </w:r>
      <w:r w:rsidR="001B20B6">
        <w:noBreakHyphen/>
      </w:r>
      <w:r>
        <w:t xml:space="preserve"> person privacy risk assessment and can be asserted by the individual (</w:t>
      </w:r>
      <w:r w:rsidR="0005680F">
        <w:t>PII Principal</w:t>
      </w:r>
      <w:r>
        <w:t>)</w:t>
      </w:r>
    </w:p>
    <w:p w14:paraId="02F2BACA" w14:textId="47BF87ED" w:rsidR="737A5F5B" w:rsidRDefault="737A5F5B" w:rsidP="737A5F5B">
      <w:r>
        <w:t>2. Legal Assurance – a Data Controller Credential consists</w:t>
      </w:r>
      <w:r w:rsidR="0005680F">
        <w:t xml:space="preserve"> of a </w:t>
      </w:r>
      <w:r>
        <w:t xml:space="preserve">verified data controller and data protection officer, or company director, where privacy and security </w:t>
      </w:r>
      <w:r w:rsidR="0005680F">
        <w:t>is</w:t>
      </w:r>
      <w:r>
        <w:t xml:space="preserve"> enforced, and the controller credential is monitored</w:t>
      </w:r>
      <w:r w:rsidR="0076478C">
        <w:t xml:space="preserve"> by a </w:t>
      </w:r>
      <w:r w:rsidR="009A1EA8">
        <w:t>in publicly accessible and standardized ledger</w:t>
      </w:r>
      <w:r w:rsidR="0076478C">
        <w:t>.</w:t>
      </w:r>
    </w:p>
    <w:p w14:paraId="16575166" w14:textId="64BB0704" w:rsidR="737A5F5B" w:rsidRDefault="737A5F5B" w:rsidP="737A5F5B">
      <w:r>
        <w:t xml:space="preserve">3. Operationally Assured Controller Credential </w:t>
      </w:r>
      <w:r w:rsidR="007A65E7">
        <w:t>— O</w:t>
      </w:r>
      <w:r w:rsidR="32C88D6A">
        <w:t>perator</w:t>
      </w:r>
      <w:r w:rsidR="009A1EA8">
        <w:t xml:space="preserve"> </w:t>
      </w:r>
      <w:r>
        <w:t>of a personal data control (</w:t>
      </w:r>
      <w:proofErr w:type="spellStart"/>
      <w:r>
        <w:t>eConsent</w:t>
      </w:r>
      <w:proofErr w:type="spellEnd"/>
      <w:r>
        <w:t xml:space="preserve">) code of practice, which in addition to tier 2, is </w:t>
      </w:r>
      <w:r w:rsidR="009A1EA8">
        <w:t xml:space="preserve">provided through </w:t>
      </w:r>
      <w:r>
        <w:t>certifi</w:t>
      </w:r>
      <w:r w:rsidR="009A1EA8">
        <w:t>cation</w:t>
      </w:r>
      <w:r>
        <w:t xml:space="preserve"> and </w:t>
      </w:r>
      <w:r w:rsidR="009A1EA8">
        <w:t xml:space="preserve">additional </w:t>
      </w:r>
      <w:r>
        <w:t>monito</w:t>
      </w:r>
      <w:r w:rsidR="009A1EA8">
        <w:t>ring</w:t>
      </w:r>
      <w:r>
        <w:t xml:space="preserve"> by </w:t>
      </w:r>
      <w:r w:rsidR="007A65E7">
        <w:t xml:space="preserve">a </w:t>
      </w:r>
      <w:r>
        <w:t>recognized provider/regulator for a specific set of data control and management practices</w:t>
      </w:r>
      <w:r w:rsidR="0076478C">
        <w:t>.</w:t>
      </w:r>
    </w:p>
    <w:p w14:paraId="35084584" w14:textId="38912576" w:rsidR="737A5F5B" w:rsidRDefault="009A1EA8" w:rsidP="737A5F5B">
      <w:r>
        <w:t>The identifier</w:t>
      </w:r>
      <w:r w:rsidR="737A5F5B">
        <w:t xml:space="preserve"> vector and </w:t>
      </w:r>
      <w:r w:rsidR="32C88D6A">
        <w:t>tier</w:t>
      </w:r>
      <w:r w:rsidR="007A65E7">
        <w:t>s</w:t>
      </w:r>
      <w:r w:rsidR="00D42860">
        <w:t xml:space="preserve"> </w:t>
      </w:r>
      <w:r w:rsidR="737A5F5B">
        <w:t xml:space="preserve">can be determined </w:t>
      </w:r>
      <w:r w:rsidR="007A65E7">
        <w:t>by conducting</w:t>
      </w:r>
      <w:r w:rsidR="737A5F5B">
        <w:t xml:space="preserve"> a </w:t>
      </w:r>
      <w:r w:rsidR="001467F2" w:rsidRPr="188700AE">
        <w:rPr>
          <w:u w:val="single"/>
        </w:rPr>
        <w:t>D</w:t>
      </w:r>
      <w:r w:rsidR="737A5F5B" w:rsidRPr="188700AE">
        <w:rPr>
          <w:u w:val="single"/>
        </w:rPr>
        <w:t xml:space="preserve">ata </w:t>
      </w:r>
      <w:r w:rsidR="001467F2" w:rsidRPr="188700AE">
        <w:rPr>
          <w:u w:val="single"/>
        </w:rPr>
        <w:t>C</w:t>
      </w:r>
      <w:r w:rsidR="737A5F5B" w:rsidRPr="188700AE">
        <w:rPr>
          <w:u w:val="single"/>
        </w:rPr>
        <w:t xml:space="preserve">ontrol </w:t>
      </w:r>
      <w:r w:rsidR="001467F2" w:rsidRPr="188700AE">
        <w:rPr>
          <w:u w:val="single"/>
        </w:rPr>
        <w:t>I</w:t>
      </w:r>
      <w:r w:rsidR="737A5F5B" w:rsidRPr="188700AE">
        <w:rPr>
          <w:u w:val="single"/>
        </w:rPr>
        <w:t xml:space="preserve">mpact </w:t>
      </w:r>
      <w:proofErr w:type="gramStart"/>
      <w:r w:rsidR="001467F2" w:rsidRPr="188700AE">
        <w:rPr>
          <w:u w:val="single"/>
        </w:rPr>
        <w:t>A</w:t>
      </w:r>
      <w:r w:rsidR="737A5F5B" w:rsidRPr="188700AE">
        <w:rPr>
          <w:u w:val="single"/>
        </w:rPr>
        <w:t>ssessment</w:t>
      </w:r>
      <w:r w:rsidR="001467F2">
        <w:t xml:space="preserve">, </w:t>
      </w:r>
      <w:r w:rsidR="737A5F5B">
        <w:t xml:space="preserve"> which</w:t>
      </w:r>
      <w:proofErr w:type="gramEnd"/>
      <w:r w:rsidR="737A5F5B">
        <w:t xml:space="preserve"> </w:t>
      </w:r>
      <w:r w:rsidR="007A65E7">
        <w:t xml:space="preserve">entails </w:t>
      </w:r>
      <w:r w:rsidR="001467F2">
        <w:t xml:space="preserve">the </w:t>
      </w:r>
      <w:r w:rsidR="737A5F5B">
        <w:t xml:space="preserve">assessment of who controls a digital identifier, who is the beneficial owner of the data </w:t>
      </w:r>
      <w:r w:rsidR="737A5F5B">
        <w:lastRenderedPageBreak/>
        <w:t xml:space="preserve">processing, how many parties </w:t>
      </w:r>
      <w:r w:rsidR="001467F2">
        <w:t xml:space="preserve">the identifier </w:t>
      </w:r>
      <w:r w:rsidR="737A5F5B">
        <w:t xml:space="preserve">is disclosed </w:t>
      </w:r>
      <w:r w:rsidR="32C88D6A">
        <w:t xml:space="preserve">to, </w:t>
      </w:r>
      <w:r w:rsidR="007A65E7">
        <w:t>and</w:t>
      </w:r>
      <w:r w:rsidR="737A5F5B">
        <w:t xml:space="preserve"> what is the security</w:t>
      </w:r>
      <w:r w:rsidR="001467F2">
        <w:t>/transparency</w:t>
      </w:r>
      <w:r w:rsidR="737A5F5B">
        <w:t xml:space="preserve"> when disclosed</w:t>
      </w:r>
      <w:r w:rsidR="001467F2">
        <w:t>.  The assessment can then identify the governance vector, level of assurance and the subsequent</w:t>
      </w:r>
      <w:r w:rsidR="737A5F5B">
        <w:t xml:space="preserve"> scope of </w:t>
      </w:r>
      <w:r w:rsidR="001467F2">
        <w:t xml:space="preserve">data </w:t>
      </w:r>
      <w:proofErr w:type="gramStart"/>
      <w:r w:rsidR="001467F2">
        <w:t>control based</w:t>
      </w:r>
      <w:proofErr w:type="gramEnd"/>
      <w:r w:rsidR="001467F2">
        <w:t xml:space="preserve"> privacy</w:t>
      </w:r>
      <w:r w:rsidR="737A5F5B">
        <w:t xml:space="preserve"> risk</w:t>
      </w:r>
      <w:r w:rsidR="00A96785">
        <w:t xml:space="preserve"> for this trustworthy id system</w:t>
      </w:r>
      <w:r w:rsidR="737A5F5B">
        <w:t xml:space="preserve">.  </w:t>
      </w:r>
    </w:p>
    <w:p w14:paraId="1A463C7E" w14:textId="36D5B0DD" w:rsidR="188700AE" w:rsidRDefault="188700AE" w:rsidP="188700AE"/>
    <w:p w14:paraId="6813B3FA" w14:textId="506DBB47" w:rsidR="188700AE" w:rsidRDefault="188700AE" w:rsidP="188700AE">
      <w:r>
        <w:rPr>
          <w:noProof/>
        </w:rPr>
        <w:drawing>
          <wp:inline distT="0" distB="0" distL="0" distR="0" wp14:anchorId="6A468B87" wp14:editId="6E2F367C">
            <wp:extent cx="4572000" cy="2971800"/>
            <wp:effectExtent l="0" t="0" r="0" b="0"/>
            <wp:docPr id="1107859680" name="Picture 110785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2599" w14:textId="483ED831" w:rsidR="737A5F5B" w:rsidRDefault="737A5F5B" w:rsidP="188700AE">
      <w:pPr>
        <w:pStyle w:val="Heading1"/>
        <w:rPr>
          <w:rFonts w:ascii="Calibri Light" w:hAnsi="Calibri Light"/>
        </w:rPr>
      </w:pPr>
      <w:r>
        <w:t>Part 2: Trustworthy ID System Architecture</w:t>
      </w:r>
      <w:r w:rsidR="003A2C21">
        <w:t xml:space="preserve"> </w:t>
      </w:r>
      <w:r w:rsidR="009A1EA8">
        <w:t>(</w:t>
      </w:r>
      <w:r w:rsidR="003A2C21">
        <w:t xml:space="preserve">For </w:t>
      </w:r>
      <w:r w:rsidR="007A10CB">
        <w:t xml:space="preserve">A </w:t>
      </w:r>
      <w:r w:rsidR="003A2C21">
        <w:t>Consent Economy</w:t>
      </w:r>
      <w:r w:rsidR="009A1EA8">
        <w:t>)</w:t>
      </w:r>
    </w:p>
    <w:p w14:paraId="2ADF2CC8" w14:textId="022C4253" w:rsidR="737A5F5B" w:rsidRDefault="737A5F5B" w:rsidP="737A5F5B">
      <w:r>
        <w:t xml:space="preserve">In this system architecture, trustworthiness is </w:t>
      </w:r>
      <w:r w:rsidR="007A65E7">
        <w:t>defined</w:t>
      </w:r>
      <w:r w:rsidR="002054F4">
        <w:t xml:space="preserve"> (in terms and </w:t>
      </w:r>
      <w:proofErr w:type="gramStart"/>
      <w:r w:rsidR="002054F4">
        <w:t xml:space="preserve">definitions) </w:t>
      </w:r>
      <w:r w:rsidR="007A65E7">
        <w:t xml:space="preserve"> from</w:t>
      </w:r>
      <w:proofErr w:type="gramEnd"/>
      <w:r w:rsidR="007A65E7">
        <w:t xml:space="preserve"> </w:t>
      </w:r>
      <w:r w:rsidR="00A96785">
        <w:t xml:space="preserve">international </w:t>
      </w:r>
      <w:r w:rsidR="009A1EA8">
        <w:t>privacy</w:t>
      </w:r>
      <w:r w:rsidR="00BC22BE">
        <w:t xml:space="preserve"> </w:t>
      </w:r>
      <w:r w:rsidR="009A1EA8">
        <w:t>standard</w:t>
      </w:r>
      <w:r w:rsidR="00A96785">
        <w:t>’s</w:t>
      </w:r>
      <w:r w:rsidR="009A1EA8">
        <w:rPr>
          <w:rStyle w:val="EndnoteReference"/>
        </w:rPr>
        <w:endnoteReference w:id="3"/>
      </w:r>
      <w:r w:rsidR="00BC22BE">
        <w:t xml:space="preserve"> </w:t>
      </w:r>
      <w:r w:rsidR="00A96785">
        <w:t xml:space="preserve">specifying the </w:t>
      </w:r>
      <w:r>
        <w:t>relative</w:t>
      </w:r>
      <w:r w:rsidR="00A96785">
        <w:t xml:space="preserve"> </w:t>
      </w:r>
      <w:r>
        <w:t>stakeholder</w:t>
      </w:r>
      <w:r w:rsidR="00A96785">
        <w:t>s.</w:t>
      </w:r>
      <w:r>
        <w:t xml:space="preserve"> </w:t>
      </w:r>
    </w:p>
    <w:p w14:paraId="79F8587D" w14:textId="686759B4" w:rsidR="737A5F5B" w:rsidRDefault="009A1EA8" w:rsidP="737A5F5B">
      <w:r>
        <w:t xml:space="preserve">This </w:t>
      </w:r>
      <w:r w:rsidR="737A5F5B">
        <w:t xml:space="preserve">architecture defines how to wrap identifiers in electronic Notice records (micro-credentials) and to exchange identifiers in </w:t>
      </w:r>
      <w:proofErr w:type="spellStart"/>
      <w:r w:rsidR="737A5F5B">
        <w:t>eConsent</w:t>
      </w:r>
      <w:proofErr w:type="spellEnd"/>
      <w:r w:rsidR="737A5F5B">
        <w:t xml:space="preserve"> receipts.   </w:t>
      </w:r>
    </w:p>
    <w:p w14:paraId="36CA14B8" w14:textId="732C6386" w:rsidR="007A65E7" w:rsidRDefault="737A5F5B" w:rsidP="32C88D6A">
      <w:r>
        <w:t>This architecture is enabled by creating a Data Controller Credential (from public information in an international standard ISO/IEC record format</w:t>
      </w:r>
      <w:r w:rsidR="009A1EA8">
        <w:rPr>
          <w:rStyle w:val="EndnoteReference"/>
        </w:rPr>
        <w:endnoteReference w:id="4"/>
      </w:r>
      <w:r>
        <w:t xml:space="preserve">), which is created by binding the organization identity with the </w:t>
      </w:r>
      <w:r w:rsidR="009A1EA8">
        <w:t>organizations ‘</w:t>
      </w:r>
      <w:r>
        <w:t>accountable person</w:t>
      </w:r>
      <w:r w:rsidR="009A1EA8">
        <w:t xml:space="preserve">’ </w:t>
      </w:r>
      <w:r>
        <w:t xml:space="preserve">into standardized record format. </w:t>
      </w:r>
      <w:r w:rsidR="007A65E7">
        <w:t>This architecture provides data control</w:t>
      </w:r>
      <w:r w:rsidR="009A1EA8">
        <w:t>s</w:t>
      </w:r>
      <w:r w:rsidR="007A65E7">
        <w:t xml:space="preserve"> that </w:t>
      </w:r>
      <w:r w:rsidR="009A1EA8">
        <w:t>are</w:t>
      </w:r>
      <w:r w:rsidR="007A65E7">
        <w:t xml:space="preserve"> governed by privacy </w:t>
      </w:r>
      <w:r w:rsidR="009A1EA8">
        <w:t xml:space="preserve">laws </w:t>
      </w:r>
      <w:r w:rsidR="007A65E7">
        <w:t xml:space="preserve">and </w:t>
      </w:r>
      <w:r w:rsidR="009A1EA8">
        <w:t xml:space="preserve">implemented with </w:t>
      </w:r>
      <w:r w:rsidR="007A65E7">
        <w:t>standards, not by (</w:t>
      </w:r>
      <w:proofErr w:type="gramStart"/>
      <w:r w:rsidR="007A65E7">
        <w:t>organizationally-imposed</w:t>
      </w:r>
      <w:proofErr w:type="gramEnd"/>
      <w:r w:rsidR="007A65E7">
        <w:t>) contractual terms and conditions</w:t>
      </w:r>
      <w:r w:rsidR="009A1EA8">
        <w:rPr>
          <w:rStyle w:val="EndnoteReference"/>
        </w:rPr>
        <w:endnoteReference w:id="5"/>
      </w:r>
      <w:r w:rsidR="007A65E7">
        <w:t>.</w:t>
      </w:r>
    </w:p>
    <w:p w14:paraId="084512CD" w14:textId="24D70855" w:rsidR="009A1EA8" w:rsidRDefault="737A5F5B" w:rsidP="737A5F5B">
      <w:r>
        <w:t xml:space="preserve"> When the individual interacts with a standardized notice (called a two</w:t>
      </w:r>
      <w:r w:rsidR="007A65E7">
        <w:noBreakHyphen/>
      </w:r>
      <w:r>
        <w:t xml:space="preserve"> factor notice)</w:t>
      </w:r>
      <w:r w:rsidR="009A1EA8">
        <w:t>,</w:t>
      </w:r>
      <w:r>
        <w:t xml:space="preserve"> a record and receipt is generated</w:t>
      </w:r>
      <w:r w:rsidR="007A65E7">
        <w:t xml:space="preserve">, thus </w:t>
      </w:r>
      <w:r>
        <w:t>producing proof of notice/knowledge</w:t>
      </w:r>
      <w:r w:rsidR="00BC22BE">
        <w:t xml:space="preserve"> record</w:t>
      </w:r>
      <w:r>
        <w:t xml:space="preserve"> from this </w:t>
      </w:r>
      <w:r w:rsidR="00BC22BE">
        <w:t xml:space="preserve">standardized controller </w:t>
      </w:r>
      <w:r>
        <w:t>credential.  The</w:t>
      </w:r>
      <w:r w:rsidR="009A1EA8">
        <w:t xml:space="preserve"> </w:t>
      </w:r>
      <w:proofErr w:type="spellStart"/>
      <w:r w:rsidR="009A1EA8">
        <w:t>eConsent</w:t>
      </w:r>
      <w:proofErr w:type="spellEnd"/>
      <w:r>
        <w:t xml:space="preserve"> receipt is </w:t>
      </w:r>
      <w:r w:rsidR="009A1EA8">
        <w:t>generated to mirror this record and provide digital evidence of consent</w:t>
      </w:r>
      <w:r w:rsidR="00A96785">
        <w:t>.</w:t>
      </w:r>
      <w:r>
        <w:t xml:space="preserve"> </w:t>
      </w:r>
    </w:p>
    <w:p w14:paraId="427A8510" w14:textId="1E778C8F" w:rsidR="737A5F5B" w:rsidRDefault="737A5F5B" w:rsidP="737A5F5B">
      <w:r>
        <w:t>The</w:t>
      </w:r>
      <w:r w:rsidR="00BC22BE">
        <w:t xml:space="preserve"> anchored trust</w:t>
      </w:r>
      <w:r>
        <w:t xml:space="preserve"> record </w:t>
      </w:r>
      <w:r w:rsidR="00BC22BE">
        <w:t xml:space="preserve">once signed is called </w:t>
      </w:r>
      <w:r>
        <w:t xml:space="preserve">a </w:t>
      </w:r>
      <w:r w:rsidRPr="00BC22BE">
        <w:rPr>
          <w:u w:val="single"/>
        </w:rPr>
        <w:t>micro-credential</w:t>
      </w:r>
      <w:r>
        <w:t xml:space="preserve"> </w:t>
      </w:r>
      <w:r w:rsidR="00BC22BE">
        <w:t xml:space="preserve">when stored in a digital wallet. </w:t>
      </w:r>
      <w:r>
        <w:t xml:space="preserve"> </w:t>
      </w:r>
      <w:r w:rsidR="00BC22BE">
        <w:t>This</w:t>
      </w:r>
      <w:r>
        <w:t xml:space="preserve"> anchored trust record that </w:t>
      </w:r>
      <w:r w:rsidR="007A65E7">
        <w:t xml:space="preserve">the individual owns and controls; </w:t>
      </w:r>
      <w:r w:rsidR="00BC22BE">
        <w:t xml:space="preserve">empowers </w:t>
      </w:r>
      <w:r>
        <w:t>the individual with their own relationship record, their own cookie/record of identifiers, meta</w:t>
      </w:r>
      <w:r w:rsidR="32C88D6A">
        <w:t>-</w:t>
      </w:r>
      <w:proofErr w:type="gramStart"/>
      <w:r w:rsidR="32C88D6A">
        <w:t>data</w:t>
      </w:r>
      <w:proofErr w:type="gramEnd"/>
      <w:r w:rsidR="00BC22BE">
        <w:t xml:space="preserve"> and </w:t>
      </w:r>
      <w:r w:rsidR="003A2C21">
        <w:t>source of providence</w:t>
      </w:r>
      <w:r w:rsidR="00BC22BE">
        <w:t xml:space="preserve">. This record which the individual controls and trust, is what provides a person with </w:t>
      </w:r>
      <w:r w:rsidR="003A2C21">
        <w:t xml:space="preserve">digital </w:t>
      </w:r>
      <w:r w:rsidR="007A65E7">
        <w:t xml:space="preserve">transparency over who processes </w:t>
      </w:r>
      <w:r w:rsidR="00C47159">
        <w:t>and control</w:t>
      </w:r>
      <w:r w:rsidR="009A1EA8">
        <w:t>’s</w:t>
      </w:r>
      <w:r w:rsidR="00C47159">
        <w:t xml:space="preserve"> </w:t>
      </w:r>
      <w:r w:rsidR="00BC22BE">
        <w:t>personal</w:t>
      </w:r>
      <w:r w:rsidR="009A1EA8">
        <w:t xml:space="preserve"> </w:t>
      </w:r>
      <w:r>
        <w:t>data</w:t>
      </w:r>
      <w:r w:rsidR="00BC22BE">
        <w:t xml:space="preserve">, </w:t>
      </w:r>
      <w:r w:rsidR="009A1EA8">
        <w:t xml:space="preserve">which is what makes </w:t>
      </w:r>
      <w:r w:rsidR="00BC22BE">
        <w:t>trustworthy digital id</w:t>
      </w:r>
      <w:r w:rsidR="009A1EA8">
        <w:t xml:space="preserve"> trustworthy</w:t>
      </w:r>
      <w:r>
        <w:t xml:space="preserve">.  </w:t>
      </w:r>
    </w:p>
    <w:p w14:paraId="66D68A14" w14:textId="5309E2BA" w:rsidR="737A5F5B" w:rsidRDefault="737A5F5B" w:rsidP="737A5F5B">
      <w:r>
        <w:lastRenderedPageBreak/>
        <w:t xml:space="preserve">When </w:t>
      </w:r>
      <w:r w:rsidR="007A65E7">
        <w:t xml:space="preserve">an individual provides </w:t>
      </w:r>
      <w:r>
        <w:t>consent</w:t>
      </w:r>
      <w:r w:rsidR="00BC22BE">
        <w:t xml:space="preserve">, the electronic consent receipt </w:t>
      </w:r>
      <w:r>
        <w:t>is exchanged</w:t>
      </w:r>
      <w:r w:rsidR="00BC22BE">
        <w:t xml:space="preserve"> </w:t>
      </w:r>
      <w:r w:rsidR="007A65E7">
        <w:t>in the form of</w:t>
      </w:r>
      <w:r>
        <w:t xml:space="preserve"> a micro-consent token</w:t>
      </w:r>
      <w:r w:rsidR="00BC22BE">
        <w:t xml:space="preserve">, </w:t>
      </w:r>
      <w:r w:rsidR="007A65E7">
        <w:t>grant</w:t>
      </w:r>
      <w:r w:rsidR="00BC22BE">
        <w:t xml:space="preserve">ing consent </w:t>
      </w:r>
      <w:r>
        <w:t xml:space="preserve">for a specific purpose, </w:t>
      </w:r>
      <w:r w:rsidR="007A65E7">
        <w:t>with</w:t>
      </w:r>
      <w:r>
        <w:t xml:space="preserve">in which the digital identifiers are encrypted inside the purpose </w:t>
      </w:r>
      <w:r w:rsidR="007A65E7">
        <w:noBreakHyphen/>
      </w:r>
      <w:r w:rsidR="32C88D6A">
        <w:t>specif</w:t>
      </w:r>
      <w:r w:rsidR="007A65E7">
        <w:t>ic</w:t>
      </w:r>
      <w:r>
        <w:t xml:space="preserve"> specified token. </w:t>
      </w:r>
      <w:r w:rsidR="00BC22BE">
        <w:t xml:space="preserve"> </w:t>
      </w:r>
      <w:r w:rsidRPr="00BC22BE">
        <w:rPr>
          <w:u w:val="single"/>
        </w:rPr>
        <w:t>Any</w:t>
      </w:r>
      <w:r>
        <w:t xml:space="preserve"> third party that uses the token to </w:t>
      </w:r>
      <w:r w:rsidR="32C88D6A">
        <w:t>g</w:t>
      </w:r>
      <w:r w:rsidR="007A65E7">
        <w:t>ain</w:t>
      </w:r>
      <w:r>
        <w:t xml:space="preserve"> access/control of personal identifiers is logged, captured</w:t>
      </w:r>
      <w:r w:rsidR="00BC22BE">
        <w:t xml:space="preserve"> with a record of processing</w:t>
      </w:r>
      <w:r>
        <w:t xml:space="preserve"> </w:t>
      </w:r>
      <w:r w:rsidR="00537FF4">
        <w:t>is</w:t>
      </w:r>
      <w:r>
        <w:t xml:space="preserve"> made transparent with the standard</w:t>
      </w:r>
      <w:r w:rsidR="00BC22BE">
        <w:t>ized</w:t>
      </w:r>
      <w:r>
        <w:t xml:space="preserve"> record format.  </w:t>
      </w:r>
    </w:p>
    <w:p w14:paraId="05535D9D" w14:textId="128EF269" w:rsidR="737A5F5B" w:rsidRDefault="006A7F1A" w:rsidP="737A5F5B">
      <w:r>
        <w:t>Operationalizing digital</w:t>
      </w:r>
      <w:r w:rsidR="00BC22BE">
        <w:t xml:space="preserve"> identifier control with contextual </w:t>
      </w:r>
      <w:r w:rsidR="737A5F5B">
        <w:t xml:space="preserve">privacy rights access </w:t>
      </w:r>
      <w:r w:rsidR="00BC22BE">
        <w:t xml:space="preserve">is how this architecture proposed to scale data </w:t>
      </w:r>
      <w:r w:rsidR="737A5F5B">
        <w:t>controls independently (autonomously) from a service provider</w:t>
      </w:r>
      <w:r w:rsidR="00A9386A">
        <w:t xml:space="preserve">. </w:t>
      </w:r>
      <w:r w:rsidR="00BC22BE">
        <w:t xml:space="preserve"> </w:t>
      </w:r>
      <w:r w:rsidR="00A9386A">
        <w:t xml:space="preserve">Controls </w:t>
      </w:r>
      <w:r w:rsidR="00BD4DF5">
        <w:t xml:space="preserve">which </w:t>
      </w:r>
      <w:r w:rsidR="00A9386A">
        <w:t>are specified</w:t>
      </w:r>
      <w:r w:rsidR="737A5F5B">
        <w:t>, utilizing machine readable privacy law with the W3C Data Privacy Vocabulary</w:t>
      </w:r>
      <w:r w:rsidR="00BC22BE">
        <w:rPr>
          <w:rStyle w:val="EndnoteReference"/>
        </w:rPr>
        <w:endnoteReference w:id="6"/>
      </w:r>
      <w:r w:rsidR="00A9386A">
        <w:t xml:space="preserve">, machine readable privacy law. </w:t>
      </w:r>
      <w:r w:rsidR="00A22A1D">
        <w:t>Revealing t</w:t>
      </w:r>
      <w:r w:rsidR="00BD4DF5">
        <w:t>he</w:t>
      </w:r>
      <w:r w:rsidR="00BC22BE">
        <w:t xml:space="preserve"> </w:t>
      </w:r>
      <w:r w:rsidR="737A5F5B">
        <w:t>Key to trustworthy digital id</w:t>
      </w:r>
      <w:r w:rsidR="00A9386A">
        <w:t>, which</w:t>
      </w:r>
      <w:r w:rsidR="737A5F5B">
        <w:t xml:space="preserve"> is </w:t>
      </w:r>
      <w:r w:rsidR="00B40B48">
        <w:t>consistent</w:t>
      </w:r>
      <w:r w:rsidR="00BC22BE">
        <w:t xml:space="preserve"> semantic </w:t>
      </w:r>
      <w:r w:rsidR="737A5F5B">
        <w:t xml:space="preserve">transparency over who can see, process and control personal data and knowing when this control changes.   </w:t>
      </w:r>
    </w:p>
    <w:p w14:paraId="153AEBE0" w14:textId="0E587CA1" w:rsidR="00537FF4" w:rsidRDefault="737A5F5B" w:rsidP="737A5F5B">
      <w:r>
        <w:t xml:space="preserve">Central to this architecture is </w:t>
      </w:r>
      <w:r w:rsidR="00AF10F5">
        <w:t>the Controller</w:t>
      </w:r>
      <w:r w:rsidR="32C88D6A">
        <w:t xml:space="preserve"> </w:t>
      </w:r>
      <w:r w:rsidR="00AF10F5">
        <w:t>Credential</w:t>
      </w:r>
      <w:r w:rsidR="00537FF4">
        <w:rPr>
          <w:rStyle w:val="EndnoteReference"/>
        </w:rPr>
        <w:endnoteReference w:id="7"/>
      </w:r>
      <w:r w:rsidR="00B40B48">
        <w:t xml:space="preserve"> </w:t>
      </w:r>
      <w:r w:rsidR="00537FF4">
        <w:t>which is used to generate</w:t>
      </w:r>
      <w:r>
        <w:t xml:space="preserve"> record</w:t>
      </w:r>
      <w:r w:rsidR="00537FF4">
        <w:t>s</w:t>
      </w:r>
      <w:r>
        <w:t xml:space="preserve"> and receipt </w:t>
      </w:r>
      <w:r w:rsidR="00537FF4">
        <w:t xml:space="preserve">with a 2fN.  A third-party receipt notary also signs receipts and is </w:t>
      </w:r>
      <w:r w:rsidR="00A96785">
        <w:t>required</w:t>
      </w:r>
      <w:r w:rsidR="00537FF4">
        <w:t xml:space="preserve"> to operate for</w:t>
      </w:r>
      <w:r w:rsidR="00BD4DF5">
        <w:t xml:space="preserve"> </w:t>
      </w:r>
      <w:r w:rsidR="00B40B48">
        <w:t>the</w:t>
      </w:r>
      <w:r w:rsidR="32C88D6A">
        <w:t xml:space="preserve"> </w:t>
      </w:r>
      <w:r w:rsidR="00AF10F5">
        <w:t>public-benefit</w:t>
      </w:r>
      <w:r w:rsidR="00537FF4">
        <w:t xml:space="preserve">.  The notary signs </w:t>
      </w:r>
      <w:proofErr w:type="spellStart"/>
      <w:r w:rsidR="00537FF4">
        <w:t>eNotice</w:t>
      </w:r>
      <w:proofErr w:type="spellEnd"/>
      <w:r w:rsidR="00537FF4">
        <w:t xml:space="preserve"> </w:t>
      </w:r>
      <w:r>
        <w:t xml:space="preserve">records and receipts </w:t>
      </w:r>
      <w:r w:rsidR="00B40B48">
        <w:t xml:space="preserve">to validate the information in micro-credentials </w:t>
      </w:r>
      <w:r w:rsidR="00537FF4">
        <w:t xml:space="preserve">on behalf of the individual </w:t>
      </w:r>
      <w:proofErr w:type="gramStart"/>
      <w:r w:rsidR="00537FF4">
        <w:t>in order to</w:t>
      </w:r>
      <w:proofErr w:type="gramEnd"/>
      <w:r w:rsidR="00537FF4">
        <w:t xml:space="preserve"> mint micro-consent receipt </w:t>
      </w:r>
      <w:r w:rsidR="00B40B48">
        <w:t>tokens</w:t>
      </w:r>
      <w:r w:rsidR="00A96785">
        <w:t xml:space="preserve"> with digital trust</w:t>
      </w:r>
      <w:r w:rsidR="00B40B48">
        <w:t xml:space="preserve">.  </w:t>
      </w:r>
    </w:p>
    <w:p w14:paraId="23D5EE7B" w14:textId="4FDC8639" w:rsidR="00A22A1D" w:rsidRDefault="737A5F5B" w:rsidP="32C88D6A">
      <w:r>
        <w:t>This architecture</w:t>
      </w:r>
      <w:r w:rsidR="00BD4DF5">
        <w:t xml:space="preserve"> is founded on</w:t>
      </w:r>
      <w:r w:rsidR="00665D3D">
        <w:t xml:space="preserve"> international</w:t>
      </w:r>
      <w:r w:rsidR="00B40B48">
        <w:t xml:space="preserve"> (non-national) </w:t>
      </w:r>
      <w:r>
        <w:t xml:space="preserve">standards </w:t>
      </w:r>
      <w:r w:rsidR="00A22A1D">
        <w:t xml:space="preserve">for data governance </w:t>
      </w:r>
      <w:r w:rsidR="00BD4DF5">
        <w:t>that make it possible</w:t>
      </w:r>
      <w:r>
        <w:t xml:space="preserve"> to automate </w:t>
      </w:r>
      <w:r w:rsidR="00F419C3">
        <w:t xml:space="preserve">and </w:t>
      </w:r>
      <w:r>
        <w:t>decentralize transparency</w:t>
      </w:r>
      <w:r w:rsidR="00665D3D">
        <w:t>,</w:t>
      </w:r>
      <w:r w:rsidR="32C88D6A">
        <w:t xml:space="preserve"> </w:t>
      </w:r>
      <w:r w:rsidR="00665D3D">
        <w:t>for</w:t>
      </w:r>
      <w:r>
        <w:t xml:space="preserve"> </w:t>
      </w:r>
      <w:r w:rsidR="00B40B48">
        <w:t>the transparency signal for this architecture called “</w:t>
      </w:r>
      <w:r>
        <w:t>Differential Transparency</w:t>
      </w:r>
      <w:r w:rsidR="00B40B48">
        <w:t>”.  The privacy as excepted,</w:t>
      </w:r>
      <w:r w:rsidR="00B40B48">
        <w:rPr>
          <w:rStyle w:val="EndnoteReference"/>
        </w:rPr>
        <w:endnoteReference w:id="8"/>
      </w:r>
      <w:r w:rsidR="00A22A1D">
        <w:t xml:space="preserve"> transparency signal / UI</w:t>
      </w:r>
      <w:r w:rsidR="32C88D6A">
        <w:t>.</w:t>
      </w:r>
      <w:r w:rsidR="00AB3018">
        <w:t xml:space="preserve"> </w:t>
      </w:r>
      <w:r w:rsidR="00A22A1D">
        <w:t xml:space="preserve"> </w:t>
      </w:r>
      <w:r w:rsidR="00B40B48">
        <w:t>The</w:t>
      </w:r>
      <w:r w:rsidR="00A22A1D">
        <w:t xml:space="preserve"> differential transparency signal is generated </w:t>
      </w:r>
      <w:r w:rsidR="00B40B48">
        <w:t xml:space="preserve">by comparing consent receipts </w:t>
      </w:r>
      <w:proofErr w:type="gramStart"/>
      <w:r w:rsidR="00B40B48">
        <w:t>token’s</w:t>
      </w:r>
      <w:proofErr w:type="gramEnd"/>
      <w:r w:rsidR="00B40B48">
        <w:t xml:space="preserve"> to see changes in the active privacy state.  The </w:t>
      </w:r>
      <w:r>
        <w:t>consent token captures that</w:t>
      </w:r>
      <w:r w:rsidR="00B40B48">
        <w:t xml:space="preserve"> initial</w:t>
      </w:r>
      <w:r>
        <w:t xml:space="preserve"> state of privacy/purpose and consent.  The controller</w:t>
      </w:r>
      <w:r w:rsidR="00B40B48">
        <w:t>’s operational policy</w:t>
      </w:r>
      <w:r>
        <w:t xml:space="preserve"> is independently monitored for changes to this state, in addition to a</w:t>
      </w:r>
      <w:r w:rsidR="00B94587">
        <w:t>ny relevant</w:t>
      </w:r>
      <w:r>
        <w:t xml:space="preserve"> code of practice</w:t>
      </w:r>
      <w:r w:rsidR="00B40B48">
        <w:t>.</w:t>
      </w:r>
    </w:p>
    <w:p w14:paraId="6A715FB6" w14:textId="40B5F1E8" w:rsidR="001467F2" w:rsidRDefault="00537FF4" w:rsidP="737A5F5B">
      <w:proofErr w:type="gramStart"/>
      <w:r>
        <w:t>T</w:t>
      </w:r>
      <w:r w:rsidR="00A96785">
        <w:t xml:space="preserve">he </w:t>
      </w:r>
      <w:r>
        <w:t xml:space="preserve"> core</w:t>
      </w:r>
      <w:proofErr w:type="gramEnd"/>
      <w:r>
        <w:t xml:space="preserve"> </w:t>
      </w:r>
      <w:r w:rsidR="001467F2">
        <w:t>benefits</w:t>
      </w:r>
      <w:r w:rsidR="00A96785">
        <w:t>, some content</w:t>
      </w:r>
      <w:r w:rsidR="001467F2">
        <w:t xml:space="preserve"> and references </w:t>
      </w:r>
      <w:r>
        <w:t>for this</w:t>
      </w:r>
      <w:r w:rsidR="001467F2">
        <w:t xml:space="preserve"> architecture</w:t>
      </w:r>
      <w:r>
        <w:t xml:space="preserve"> have been cut from this abstract and can be found @ </w:t>
      </w:r>
      <w:r w:rsidR="001467F2">
        <w:t>https://github.com/GPR-NGO/0PN-Framework/blob/main/Trustworthy-id-architecture</w:t>
      </w:r>
    </w:p>
    <w:p w14:paraId="11D9FA69" w14:textId="6084E22F" w:rsidR="00537FF4" w:rsidRDefault="00537FF4" w:rsidP="737A5F5B"/>
    <w:sectPr w:rsidR="00537FF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84074" w14:textId="77777777" w:rsidR="006E3A37" w:rsidRDefault="006E3A37">
      <w:pPr>
        <w:spacing w:after="0" w:line="240" w:lineRule="auto"/>
      </w:pPr>
      <w:r>
        <w:separator/>
      </w:r>
    </w:p>
  </w:endnote>
  <w:endnote w:type="continuationSeparator" w:id="0">
    <w:p w14:paraId="74E0091B" w14:textId="77777777" w:rsidR="006E3A37" w:rsidRDefault="006E3A37">
      <w:pPr>
        <w:spacing w:after="0" w:line="240" w:lineRule="auto"/>
      </w:pPr>
      <w:r>
        <w:continuationSeparator/>
      </w:r>
    </w:p>
  </w:endnote>
  <w:endnote w:type="continuationNotice" w:id="1">
    <w:p w14:paraId="55BE7E03" w14:textId="77777777" w:rsidR="006E3A37" w:rsidRDefault="006E3A37">
      <w:pPr>
        <w:spacing w:after="0" w:line="240" w:lineRule="auto"/>
      </w:pPr>
    </w:p>
  </w:endnote>
  <w:endnote w:id="2">
    <w:p w14:paraId="4241A1BF" w14:textId="2DF8AF43" w:rsidR="00422562" w:rsidRPr="00647C3B" w:rsidRDefault="00422562">
      <w:pPr>
        <w:pStyle w:val="EndnoteText"/>
        <w:rPr>
          <w:lang w:val="en-CA"/>
        </w:rPr>
      </w:pPr>
      <w:r>
        <w:rPr>
          <w:rStyle w:val="EndnoteReference"/>
        </w:rPr>
        <w:endnoteRef/>
      </w:r>
      <w:r w:rsidR="188700AE">
        <w:t xml:space="preserve"> </w:t>
      </w:r>
      <w:r w:rsidR="188700AE">
        <w:rPr>
          <w:lang w:val="en-CA"/>
        </w:rPr>
        <w:t xml:space="preserve">Zero Public Network (0PN), Identity Trust Public Registry </w:t>
      </w:r>
    </w:p>
  </w:endnote>
  <w:endnote w:id="3">
    <w:p w14:paraId="21BDC9C9" w14:textId="36EC56B2" w:rsidR="009A1EA8" w:rsidRPr="009A1EA8" w:rsidRDefault="009A1EA8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>ISO/IEC 29100</w:t>
      </w:r>
      <w:r w:rsidR="007A10CB">
        <w:rPr>
          <w:lang w:val="en-CA"/>
        </w:rPr>
        <w:t xml:space="preserve"> – Privacy Framework</w:t>
      </w:r>
    </w:p>
  </w:endnote>
  <w:endnote w:id="4">
    <w:p w14:paraId="3BC751C7" w14:textId="36A26F9F" w:rsidR="009A1EA8" w:rsidRPr="009A1EA8" w:rsidRDefault="009A1EA8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>ISO/IEC 27560</w:t>
      </w:r>
      <w:r w:rsidR="007A10CB">
        <w:rPr>
          <w:lang w:val="en-CA"/>
        </w:rPr>
        <w:t xml:space="preserve"> -Consent Receipt </w:t>
      </w:r>
    </w:p>
  </w:endnote>
  <w:endnote w:id="5">
    <w:p w14:paraId="08F30B96" w14:textId="3CB3E8C0" w:rsidR="009A1EA8" w:rsidRPr="009A1EA8" w:rsidRDefault="009A1EA8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>The Biggest Lie &amp; Meaningful Consent</w:t>
      </w:r>
    </w:p>
  </w:endnote>
  <w:endnote w:id="6">
    <w:p w14:paraId="2FD7B5AE" w14:textId="7DAF3B06" w:rsidR="00BC22BE" w:rsidRPr="00BC22BE" w:rsidRDefault="00BC22BE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>W3C D</w:t>
      </w:r>
      <w:r w:rsidR="007A10CB">
        <w:rPr>
          <w:lang w:val="en-CA"/>
        </w:rPr>
        <w:t xml:space="preserve">ata </w:t>
      </w:r>
      <w:r>
        <w:rPr>
          <w:lang w:val="en-CA"/>
        </w:rPr>
        <w:t>P</w:t>
      </w:r>
      <w:r w:rsidR="007A10CB">
        <w:rPr>
          <w:lang w:val="en-CA"/>
        </w:rPr>
        <w:t>rivacy Vocabulary</w:t>
      </w:r>
    </w:p>
  </w:endnote>
  <w:endnote w:id="7">
    <w:p w14:paraId="37EEA70F" w14:textId="5F5F709A" w:rsidR="00537FF4" w:rsidRPr="00537FF4" w:rsidRDefault="00537FF4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 xml:space="preserve">Controller Credential – </w:t>
      </w:r>
      <w:proofErr w:type="spellStart"/>
      <w:r>
        <w:rPr>
          <w:lang w:val="en-CA"/>
        </w:rPr>
        <w:t>ToiP</w:t>
      </w:r>
      <w:proofErr w:type="spellEnd"/>
      <w:r>
        <w:rPr>
          <w:lang w:val="en-CA"/>
        </w:rPr>
        <w:t xml:space="preserve"> – Task force </w:t>
      </w:r>
    </w:p>
  </w:endnote>
  <w:endnote w:id="8">
    <w:p w14:paraId="7D0608ED" w14:textId="52AF0595" w:rsidR="00B40B48" w:rsidRPr="00B40B48" w:rsidRDefault="00B40B48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>Privacy as Expected Consent Gateway – NGI Funded project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2931" w14:textId="77777777" w:rsidR="00DF6F14" w:rsidRDefault="00DF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D81C" w14:textId="77777777" w:rsidR="006E3A37" w:rsidRDefault="006E3A37">
      <w:pPr>
        <w:spacing w:after="0" w:line="240" w:lineRule="auto"/>
      </w:pPr>
      <w:r>
        <w:separator/>
      </w:r>
    </w:p>
  </w:footnote>
  <w:footnote w:type="continuationSeparator" w:id="0">
    <w:p w14:paraId="3E13F97B" w14:textId="77777777" w:rsidR="006E3A37" w:rsidRDefault="006E3A37">
      <w:pPr>
        <w:spacing w:after="0" w:line="240" w:lineRule="auto"/>
      </w:pPr>
      <w:r>
        <w:continuationSeparator/>
      </w:r>
    </w:p>
  </w:footnote>
  <w:footnote w:type="continuationNotice" w:id="1">
    <w:p w14:paraId="5EA5E45B" w14:textId="77777777" w:rsidR="006E3A37" w:rsidRDefault="006E3A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21B8" w14:textId="5F5189F3" w:rsidR="00DF6F14" w:rsidRDefault="188700AE">
    <w:pPr>
      <w:pStyle w:val="Header"/>
    </w:pPr>
    <w:r>
      <w:t>Global Privacy Rights: 0PN- Decentralized Governance Framework</w:t>
    </w:r>
  </w:p>
  <w:p w14:paraId="7B245DA6" w14:textId="47B2309D" w:rsidR="188700AE" w:rsidRDefault="188700AE" w:rsidP="188700AE">
    <w:pPr>
      <w:pStyle w:val="Header"/>
    </w:pPr>
    <w:r>
      <w:t>July 4, 2022 – GPR-Rand License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BV6sZG3" int2:invalidationBookmarkName="" int2:hashCode="8Rah30xp+di/De" int2:id="IvH3Qbwi"/>
    <int2:bookmark int2:bookmarkName="_Int_nITVPpyF" int2:invalidationBookmarkName="" int2:hashCode="bPh2UAPvDHtMJM" int2:id="zGxc7TLL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E27C1"/>
    <w:multiLevelType w:val="hybridMultilevel"/>
    <w:tmpl w:val="B7000456"/>
    <w:lvl w:ilvl="0" w:tplc="D4A09484">
      <w:start w:val="1"/>
      <w:numFmt w:val="decimal"/>
      <w:lvlText w:val="%1."/>
      <w:lvlJc w:val="left"/>
      <w:pPr>
        <w:ind w:left="720" w:hanging="360"/>
      </w:pPr>
    </w:lvl>
    <w:lvl w:ilvl="1" w:tplc="15B65146">
      <w:start w:val="1"/>
      <w:numFmt w:val="lowerLetter"/>
      <w:lvlText w:val="%2."/>
      <w:lvlJc w:val="left"/>
      <w:pPr>
        <w:ind w:left="1440" w:hanging="360"/>
      </w:pPr>
    </w:lvl>
    <w:lvl w:ilvl="2" w:tplc="45A8C832">
      <w:start w:val="1"/>
      <w:numFmt w:val="lowerRoman"/>
      <w:lvlText w:val="%3."/>
      <w:lvlJc w:val="right"/>
      <w:pPr>
        <w:ind w:left="2160" w:hanging="180"/>
      </w:pPr>
    </w:lvl>
    <w:lvl w:ilvl="3" w:tplc="D28E43C0">
      <w:start w:val="1"/>
      <w:numFmt w:val="decimal"/>
      <w:lvlText w:val="%4."/>
      <w:lvlJc w:val="left"/>
      <w:pPr>
        <w:ind w:left="2880" w:hanging="360"/>
      </w:pPr>
    </w:lvl>
    <w:lvl w:ilvl="4" w:tplc="A1A0063A">
      <w:start w:val="1"/>
      <w:numFmt w:val="lowerLetter"/>
      <w:lvlText w:val="%5."/>
      <w:lvlJc w:val="left"/>
      <w:pPr>
        <w:ind w:left="3600" w:hanging="360"/>
      </w:pPr>
    </w:lvl>
    <w:lvl w:ilvl="5" w:tplc="4708737E">
      <w:start w:val="1"/>
      <w:numFmt w:val="lowerRoman"/>
      <w:lvlText w:val="%6."/>
      <w:lvlJc w:val="right"/>
      <w:pPr>
        <w:ind w:left="4320" w:hanging="180"/>
      </w:pPr>
    </w:lvl>
    <w:lvl w:ilvl="6" w:tplc="229626B8">
      <w:start w:val="1"/>
      <w:numFmt w:val="decimal"/>
      <w:lvlText w:val="%7."/>
      <w:lvlJc w:val="left"/>
      <w:pPr>
        <w:ind w:left="5040" w:hanging="360"/>
      </w:pPr>
    </w:lvl>
    <w:lvl w:ilvl="7" w:tplc="A2BC9D66">
      <w:start w:val="1"/>
      <w:numFmt w:val="lowerLetter"/>
      <w:lvlText w:val="%8."/>
      <w:lvlJc w:val="left"/>
      <w:pPr>
        <w:ind w:left="5760" w:hanging="360"/>
      </w:pPr>
    </w:lvl>
    <w:lvl w:ilvl="8" w:tplc="D714A7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417C"/>
    <w:multiLevelType w:val="hybridMultilevel"/>
    <w:tmpl w:val="FEFC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21F1"/>
    <w:multiLevelType w:val="hybridMultilevel"/>
    <w:tmpl w:val="62AA9112"/>
    <w:lvl w:ilvl="0" w:tplc="CE8C713C">
      <w:start w:val="1"/>
      <w:numFmt w:val="decimal"/>
      <w:lvlText w:val="%1."/>
      <w:lvlJc w:val="left"/>
      <w:pPr>
        <w:ind w:left="720" w:hanging="360"/>
      </w:pPr>
    </w:lvl>
    <w:lvl w:ilvl="1" w:tplc="9CBEAE2A">
      <w:start w:val="1"/>
      <w:numFmt w:val="lowerLetter"/>
      <w:lvlText w:val="%2."/>
      <w:lvlJc w:val="left"/>
      <w:pPr>
        <w:ind w:left="1440" w:hanging="360"/>
      </w:pPr>
    </w:lvl>
    <w:lvl w:ilvl="2" w:tplc="F62CA67C">
      <w:start w:val="1"/>
      <w:numFmt w:val="lowerRoman"/>
      <w:lvlText w:val="%3."/>
      <w:lvlJc w:val="right"/>
      <w:pPr>
        <w:ind w:left="2160" w:hanging="180"/>
      </w:pPr>
    </w:lvl>
    <w:lvl w:ilvl="3" w:tplc="8AD8E76C">
      <w:start w:val="1"/>
      <w:numFmt w:val="decimal"/>
      <w:lvlText w:val="%4."/>
      <w:lvlJc w:val="left"/>
      <w:pPr>
        <w:ind w:left="2880" w:hanging="360"/>
      </w:pPr>
    </w:lvl>
    <w:lvl w:ilvl="4" w:tplc="B8344C42">
      <w:start w:val="1"/>
      <w:numFmt w:val="lowerLetter"/>
      <w:lvlText w:val="%5."/>
      <w:lvlJc w:val="left"/>
      <w:pPr>
        <w:ind w:left="3600" w:hanging="360"/>
      </w:pPr>
    </w:lvl>
    <w:lvl w:ilvl="5" w:tplc="FC12D0F4">
      <w:start w:val="1"/>
      <w:numFmt w:val="lowerRoman"/>
      <w:lvlText w:val="%6."/>
      <w:lvlJc w:val="right"/>
      <w:pPr>
        <w:ind w:left="4320" w:hanging="180"/>
      </w:pPr>
    </w:lvl>
    <w:lvl w:ilvl="6" w:tplc="C772E0B4">
      <w:start w:val="1"/>
      <w:numFmt w:val="decimal"/>
      <w:lvlText w:val="%7."/>
      <w:lvlJc w:val="left"/>
      <w:pPr>
        <w:ind w:left="5040" w:hanging="360"/>
      </w:pPr>
    </w:lvl>
    <w:lvl w:ilvl="7" w:tplc="017411D6">
      <w:start w:val="1"/>
      <w:numFmt w:val="lowerLetter"/>
      <w:lvlText w:val="%8."/>
      <w:lvlJc w:val="left"/>
      <w:pPr>
        <w:ind w:left="5760" w:hanging="360"/>
      </w:pPr>
    </w:lvl>
    <w:lvl w:ilvl="8" w:tplc="91B41B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414629"/>
    <w:rsid w:val="00007C40"/>
    <w:rsid w:val="0005680F"/>
    <w:rsid w:val="0014233E"/>
    <w:rsid w:val="001467F2"/>
    <w:rsid w:val="001B20B6"/>
    <w:rsid w:val="001D301A"/>
    <w:rsid w:val="002054F4"/>
    <w:rsid w:val="003432A0"/>
    <w:rsid w:val="003910D2"/>
    <w:rsid w:val="003A2C21"/>
    <w:rsid w:val="00422562"/>
    <w:rsid w:val="004C10BE"/>
    <w:rsid w:val="004C3DFE"/>
    <w:rsid w:val="004D42D4"/>
    <w:rsid w:val="005164E6"/>
    <w:rsid w:val="00537FF4"/>
    <w:rsid w:val="00647C3B"/>
    <w:rsid w:val="00665D3D"/>
    <w:rsid w:val="006A7F1A"/>
    <w:rsid w:val="006E3A37"/>
    <w:rsid w:val="0076478C"/>
    <w:rsid w:val="007A10CB"/>
    <w:rsid w:val="007A65E7"/>
    <w:rsid w:val="00964BD6"/>
    <w:rsid w:val="009A1EA8"/>
    <w:rsid w:val="009B3726"/>
    <w:rsid w:val="00A22A1D"/>
    <w:rsid w:val="00A9386A"/>
    <w:rsid w:val="00A96785"/>
    <w:rsid w:val="00AB3018"/>
    <w:rsid w:val="00AF10F5"/>
    <w:rsid w:val="00AF7CDB"/>
    <w:rsid w:val="00B40B48"/>
    <w:rsid w:val="00B94587"/>
    <w:rsid w:val="00BC22BE"/>
    <w:rsid w:val="00BD4DF5"/>
    <w:rsid w:val="00C47159"/>
    <w:rsid w:val="00D17299"/>
    <w:rsid w:val="00D42860"/>
    <w:rsid w:val="00D93584"/>
    <w:rsid w:val="00DF6F14"/>
    <w:rsid w:val="00F419C3"/>
    <w:rsid w:val="00F44117"/>
    <w:rsid w:val="00FE1220"/>
    <w:rsid w:val="01BE55E4"/>
    <w:rsid w:val="01D161BB"/>
    <w:rsid w:val="01E080C6"/>
    <w:rsid w:val="02DD6DE9"/>
    <w:rsid w:val="03876417"/>
    <w:rsid w:val="041A4DE3"/>
    <w:rsid w:val="04793E4A"/>
    <w:rsid w:val="051F4BAD"/>
    <w:rsid w:val="059FD514"/>
    <w:rsid w:val="0733379D"/>
    <w:rsid w:val="079BD32A"/>
    <w:rsid w:val="0832A5C1"/>
    <w:rsid w:val="08E694E1"/>
    <w:rsid w:val="09CE7622"/>
    <w:rsid w:val="0A2378F8"/>
    <w:rsid w:val="0A5EA6C9"/>
    <w:rsid w:val="0B18C3EF"/>
    <w:rsid w:val="0C063886"/>
    <w:rsid w:val="0CBE3CAB"/>
    <w:rsid w:val="0EA5DB71"/>
    <w:rsid w:val="0F55D665"/>
    <w:rsid w:val="12325BE8"/>
    <w:rsid w:val="128645A2"/>
    <w:rsid w:val="14385F33"/>
    <w:rsid w:val="157D4593"/>
    <w:rsid w:val="15BDE664"/>
    <w:rsid w:val="171915F4"/>
    <w:rsid w:val="18458C32"/>
    <w:rsid w:val="188700AE"/>
    <w:rsid w:val="18A19D6C"/>
    <w:rsid w:val="197D1724"/>
    <w:rsid w:val="1A8E785A"/>
    <w:rsid w:val="1BC4324C"/>
    <w:rsid w:val="1C13FF8B"/>
    <w:rsid w:val="1C2449D6"/>
    <w:rsid w:val="1DF6D544"/>
    <w:rsid w:val="1EA6D038"/>
    <w:rsid w:val="1ECB16E6"/>
    <w:rsid w:val="1F5BEA98"/>
    <w:rsid w:val="1FE15337"/>
    <w:rsid w:val="1FF6D4E9"/>
    <w:rsid w:val="214B928F"/>
    <w:rsid w:val="22487FB2"/>
    <w:rsid w:val="22D00032"/>
    <w:rsid w:val="23CFAF53"/>
    <w:rsid w:val="241E3C8F"/>
    <w:rsid w:val="247C01CC"/>
    <w:rsid w:val="26C4EDF4"/>
    <w:rsid w:val="27A161DD"/>
    <w:rsid w:val="2AEB4350"/>
    <w:rsid w:val="2B89476C"/>
    <w:rsid w:val="2C8713B1"/>
    <w:rsid w:val="2D64EBA0"/>
    <w:rsid w:val="2F2EF040"/>
    <w:rsid w:val="2FE70092"/>
    <w:rsid w:val="2FF66107"/>
    <w:rsid w:val="3157A5A7"/>
    <w:rsid w:val="3170CE04"/>
    <w:rsid w:val="32C88D6A"/>
    <w:rsid w:val="33A370FC"/>
    <w:rsid w:val="353F415D"/>
    <w:rsid w:val="35850967"/>
    <w:rsid w:val="362B16CA"/>
    <w:rsid w:val="36443F27"/>
    <w:rsid w:val="3665A28B"/>
    <w:rsid w:val="368427BD"/>
    <w:rsid w:val="370BCDE6"/>
    <w:rsid w:val="3720D9C8"/>
    <w:rsid w:val="383E9280"/>
    <w:rsid w:val="393E70DE"/>
    <w:rsid w:val="3942650A"/>
    <w:rsid w:val="3AFE87ED"/>
    <w:rsid w:val="3B8F5B9F"/>
    <w:rsid w:val="3D61E70D"/>
    <w:rsid w:val="3DC1FE97"/>
    <w:rsid w:val="3EADD404"/>
    <w:rsid w:val="3EAE443E"/>
    <w:rsid w:val="3F16DFCB"/>
    <w:rsid w:val="3F2CCACF"/>
    <w:rsid w:val="4027C3FE"/>
    <w:rsid w:val="40AF72D3"/>
    <w:rsid w:val="41E574C6"/>
    <w:rsid w:val="426ADD65"/>
    <w:rsid w:val="433D88BB"/>
    <w:rsid w:val="43994244"/>
    <w:rsid w:val="43AFF4BE"/>
    <w:rsid w:val="440492ED"/>
    <w:rsid w:val="449E400E"/>
    <w:rsid w:val="451BEA48"/>
    <w:rsid w:val="46B7BAA9"/>
    <w:rsid w:val="4734FD87"/>
    <w:rsid w:val="4815B4A3"/>
    <w:rsid w:val="48DABB79"/>
    <w:rsid w:val="4951574F"/>
    <w:rsid w:val="4986AECB"/>
    <w:rsid w:val="4991FE9B"/>
    <w:rsid w:val="4AAC86DF"/>
    <w:rsid w:val="4AE4499E"/>
    <w:rsid w:val="4AED27B0"/>
    <w:rsid w:val="4BB36BD4"/>
    <w:rsid w:val="4C485740"/>
    <w:rsid w:val="4CFE31A8"/>
    <w:rsid w:val="4F02A061"/>
    <w:rsid w:val="4F07CB60"/>
    <w:rsid w:val="4F414629"/>
    <w:rsid w:val="4FD48006"/>
    <w:rsid w:val="4FD6E203"/>
    <w:rsid w:val="5358674A"/>
    <w:rsid w:val="539DB74D"/>
    <w:rsid w:val="5531C439"/>
    <w:rsid w:val="558B0A42"/>
    <w:rsid w:val="55EF1CE0"/>
    <w:rsid w:val="57D4A1DC"/>
    <w:rsid w:val="588DEA21"/>
    <w:rsid w:val="5B0B3900"/>
    <w:rsid w:val="5C102277"/>
    <w:rsid w:val="5C6C4804"/>
    <w:rsid w:val="5D450D7D"/>
    <w:rsid w:val="5E30E2EA"/>
    <w:rsid w:val="5F1C6E7E"/>
    <w:rsid w:val="5FA3E8C6"/>
    <w:rsid w:val="62664FF1"/>
    <w:rsid w:val="63136BB8"/>
    <w:rsid w:val="63F0297A"/>
    <w:rsid w:val="64B1FE87"/>
    <w:rsid w:val="6569B6FE"/>
    <w:rsid w:val="6727CA3C"/>
    <w:rsid w:val="67E6DCDB"/>
    <w:rsid w:val="68664695"/>
    <w:rsid w:val="686C9BD9"/>
    <w:rsid w:val="68A157C0"/>
    <w:rsid w:val="68A97BBF"/>
    <w:rsid w:val="68C793F7"/>
    <w:rsid w:val="6982AD3C"/>
    <w:rsid w:val="6A636458"/>
    <w:rsid w:val="6C0A530A"/>
    <w:rsid w:val="6C2A1A17"/>
    <w:rsid w:val="6CEB0A26"/>
    <w:rsid w:val="6D9EF946"/>
    <w:rsid w:val="6DF007F0"/>
    <w:rsid w:val="6EE6F211"/>
    <w:rsid w:val="6EF770E7"/>
    <w:rsid w:val="6F72AFF4"/>
    <w:rsid w:val="6FF7C24A"/>
    <w:rsid w:val="7082C272"/>
    <w:rsid w:val="70D69A08"/>
    <w:rsid w:val="71BE7B49"/>
    <w:rsid w:val="722F11A9"/>
    <w:rsid w:val="72722090"/>
    <w:rsid w:val="737A5F5B"/>
    <w:rsid w:val="738DB606"/>
    <w:rsid w:val="74462117"/>
    <w:rsid w:val="750C070F"/>
    <w:rsid w:val="7515993F"/>
    <w:rsid w:val="75E1F178"/>
    <w:rsid w:val="7745DB8C"/>
    <w:rsid w:val="77DCAE23"/>
    <w:rsid w:val="7831B0F9"/>
    <w:rsid w:val="7A3B896C"/>
    <w:rsid w:val="7B2B015F"/>
    <w:rsid w:val="7B786966"/>
    <w:rsid w:val="7B9191C3"/>
    <w:rsid w:val="7C121B2A"/>
    <w:rsid w:val="7EA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C3B6"/>
  <w15:chartTrackingRefBased/>
  <w15:docId w15:val="{C3ACD3CA-8BCB-4097-A7CA-B41DCF6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F6F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F1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F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F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6F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14"/>
  </w:style>
  <w:style w:type="paragraph" w:styleId="Footer">
    <w:name w:val="footer"/>
    <w:basedOn w:val="Normal"/>
    <w:link w:val="FooterChar"/>
    <w:uiPriority w:val="99"/>
    <w:unhideWhenUsed/>
    <w:rsid w:val="00DF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1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90741-b68f-40a5-b133-8c66f7770713" xsi:nil="true"/>
    <lcf76f155ced4ddcb4097134ff3c332f xmlns="6ed5af39-a9a4-4f4b-b7f2-8caa448723e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ISO690.XSL" StyleName="ISO 690 - First Element and Date" Version="198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8FC867004A843A3E003FC06505007" ma:contentTypeVersion="15" ma:contentTypeDescription="Create a new document." ma:contentTypeScope="" ma:versionID="49556f90680f5da0a01f97c7d263db57">
  <xsd:schema xmlns:xsd="http://www.w3.org/2001/XMLSchema" xmlns:xs="http://www.w3.org/2001/XMLSchema" xmlns:p="http://schemas.microsoft.com/office/2006/metadata/properties" xmlns:ns2="6ed5af39-a9a4-4f4b-b7f2-8caa448723e8" xmlns:ns3="27b90741-b68f-40a5-b133-8c66f7770713" targetNamespace="http://schemas.microsoft.com/office/2006/metadata/properties" ma:root="true" ma:fieldsID="9074cbec57f430846d876c7736d14ea8" ns2:_="" ns3:_="">
    <xsd:import namespace="6ed5af39-a9a4-4f4b-b7f2-8caa448723e8"/>
    <xsd:import namespace="27b90741-b68f-40a5-b133-8c66f7770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5af39-a9a4-4f4b-b7f2-8caa4487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e78436-71a3-4fa5-a263-7fc148dc36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90741-b68f-40a5-b133-8c66f7770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ce67b6-a1d9-4b8d-9e09-3bcc4bc1e778}" ma:internalName="TaxCatchAll" ma:showField="CatchAllData" ma:web="27b90741-b68f-40a5-b133-8c66f7770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8FC867004A843A3E003FC06505007" ma:contentTypeVersion="15" ma:contentTypeDescription="Create a new document." ma:contentTypeScope="" ma:versionID="49556f90680f5da0a01f97c7d263db57">
  <xsd:schema xmlns:xsd="http://www.w3.org/2001/XMLSchema" xmlns:xs="http://www.w3.org/2001/XMLSchema" xmlns:p="http://schemas.microsoft.com/office/2006/metadata/properties" xmlns:ns2="6ed5af39-a9a4-4f4b-b7f2-8caa448723e8" xmlns:ns3="27b90741-b68f-40a5-b133-8c66f7770713" targetNamespace="http://schemas.microsoft.com/office/2006/metadata/properties" ma:root="true" ma:fieldsID="9074cbec57f430846d876c7736d14ea8" ns2:_="" ns3:_="">
    <xsd:import namespace="6ed5af39-a9a4-4f4b-b7f2-8caa448723e8"/>
    <xsd:import namespace="27b90741-b68f-40a5-b133-8c66f7770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5af39-a9a4-4f4b-b7f2-8caa4487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e78436-71a3-4fa5-a263-7fc148dc36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90741-b68f-40a5-b133-8c66f7770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ce67b6-a1d9-4b8d-9e09-3bcc4bc1e778}" ma:internalName="TaxCatchAll" ma:showField="CatchAllData" ma:web="27b90741-b68f-40a5-b133-8c66f7770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90741-b68f-40a5-b133-8c66f7770713" xsi:nil="true"/>
    <lcf76f155ced4ddcb4097134ff3c332f xmlns="6ed5af39-a9a4-4f4b-b7f2-8caa448723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D892FC-FFAA-4C91-A963-11CF3217B021}">
  <ds:schemaRefs>
    <ds:schemaRef ds:uri="http://schemas.microsoft.com/office/2006/metadata/properties"/>
    <ds:schemaRef ds:uri="http://schemas.microsoft.com/office/infopath/2007/PartnerControls"/>
    <ds:schemaRef ds:uri="27b90741-b68f-40a5-b133-8c66f7770713"/>
    <ds:schemaRef ds:uri="6ed5af39-a9a4-4f4b-b7f2-8caa448723e8"/>
  </ds:schemaRefs>
</ds:datastoreItem>
</file>

<file path=customXml/itemProps2.xml><?xml version="1.0" encoding="utf-8"?>
<ds:datastoreItem xmlns:ds="http://schemas.openxmlformats.org/officeDocument/2006/customXml" ds:itemID="{F6029E85-2EFC-C54B-9095-197401D5C3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A12787-07A7-4965-89DB-D8CE642C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5af39-a9a4-4f4b-b7f2-8caa448723e8"/>
    <ds:schemaRef ds:uri="27b90741-b68f-40a5-b133-8c66f7770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DA7AE-5E1A-4A87-AE15-B7DE1A69D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BBDF61-49AC-4026-AAD8-C27BB35616C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AB2A43-810C-4132-9BC8-7CF8D0E7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5af39-a9a4-4f4b-b7f2-8caa448723e8"/>
    <ds:schemaRef ds:uri="27b90741-b68f-40a5-b133-8c66f7770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08AF385-B230-436C-8E88-A0B8539C88F6}">
  <ds:schemaRefs>
    <ds:schemaRef ds:uri="http://schemas.microsoft.com/office/2006/metadata/properties"/>
    <ds:schemaRef ds:uri="http://schemas.microsoft.com/office/infopath/2007/PartnerControls"/>
    <ds:schemaRef ds:uri="27b90741-b68f-40a5-b133-8c66f7770713"/>
    <ds:schemaRef ds:uri="6ed5af39-a9a4-4f4b-b7f2-8caa448723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Lizar</dc:creator>
  <cp:keywords/>
  <dc:description/>
  <cp:lastModifiedBy>Mark Lizar</cp:lastModifiedBy>
  <cp:revision>3</cp:revision>
  <dcterms:created xsi:type="dcterms:W3CDTF">2022-07-19T03:49:00Z</dcterms:created>
  <dcterms:modified xsi:type="dcterms:W3CDTF">2022-07-19T11:57:00Z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0x01010014A8FC867004A843A3E003FC06505007</vt:lpwstr>
  </property>
  <property fmtid="{D5CDD505-2E9C-101B-9397-08002B2CF9AE}" pid="3" name="MediaServiceImageTags">
    <vt:lpwstr/>
  </property>
</Properties>
</file>