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D6" w:rsidRDefault="00FD3FED" w:rsidP="00FD3FED">
      <w:pPr>
        <w:pStyle w:val="berschrift1"/>
      </w:pPr>
      <w:r>
        <w:t>Vocabulary for Legal Basis</w:t>
      </w:r>
    </w:p>
    <w:p w:rsidR="00FD3FED" w:rsidRDefault="00FD3FED" w:rsidP="00FD3FED"/>
    <w:p w:rsidR="00FD3FED" w:rsidRDefault="00FD3FED" w:rsidP="00FD3FED">
      <w:pPr>
        <w:pStyle w:val="Listenabsatz"/>
        <w:numPr>
          <w:ilvl w:val="0"/>
          <w:numId w:val="1"/>
        </w:numPr>
      </w:pPr>
      <w:r>
        <w:t>Art.6(1)(a)-regular—regular consent</w:t>
      </w:r>
    </w:p>
    <w:p w:rsidR="00A81A20" w:rsidRDefault="00A81A20" w:rsidP="00A81A20">
      <w:pPr>
        <w:pStyle w:val="Listenabsatz"/>
        <w:numPr>
          <w:ilvl w:val="1"/>
          <w:numId w:val="1"/>
        </w:numPr>
      </w:pPr>
      <w:r>
        <w:t>Field: Reference to consent</w:t>
      </w:r>
    </w:p>
    <w:p w:rsidR="00F32C25" w:rsidRDefault="00A81A20" w:rsidP="00F32C25">
      <w:pPr>
        <w:pStyle w:val="Listenabsatz"/>
        <w:numPr>
          <w:ilvl w:val="2"/>
          <w:numId w:val="1"/>
        </w:numPr>
      </w:pPr>
      <w:r>
        <w:t xml:space="preserve">Comment: </w:t>
      </w:r>
      <w:r w:rsidR="00F32C25">
        <w:t>The term “regular consent” was introduced in [1]</w:t>
      </w:r>
    </w:p>
    <w:p w:rsidR="00FD3FED" w:rsidRDefault="00FD3FED" w:rsidP="00FD3FED">
      <w:pPr>
        <w:pStyle w:val="Listenabsatz"/>
        <w:numPr>
          <w:ilvl w:val="0"/>
          <w:numId w:val="1"/>
        </w:numPr>
      </w:pPr>
      <w:r>
        <w:t>Art.6(1)(a)-explicit—explicit consent</w:t>
      </w:r>
    </w:p>
    <w:p w:rsidR="00A81A20" w:rsidRDefault="00A81A20" w:rsidP="00A81A20">
      <w:pPr>
        <w:pStyle w:val="Listenabsatz"/>
        <w:numPr>
          <w:ilvl w:val="1"/>
          <w:numId w:val="1"/>
        </w:numPr>
      </w:pPr>
      <w:r>
        <w:t xml:space="preserve">Field: Reference to </w:t>
      </w:r>
      <w:r>
        <w:t>consent</w:t>
      </w:r>
    </w:p>
    <w:p w:rsidR="002B1C97" w:rsidRPr="00FD3FED" w:rsidRDefault="00A81A20" w:rsidP="002B1C97">
      <w:pPr>
        <w:pStyle w:val="Listenabsatz"/>
        <w:numPr>
          <w:ilvl w:val="2"/>
          <w:numId w:val="1"/>
        </w:numPr>
      </w:pPr>
      <w:r>
        <w:t xml:space="preserve">Comment: </w:t>
      </w:r>
      <w:r w:rsidR="002B1C97">
        <w:t>See Art.22(2)(c)</w:t>
      </w:r>
    </w:p>
    <w:p w:rsidR="00FD3FED" w:rsidRDefault="00FD3FED" w:rsidP="00FD3FED">
      <w:pPr>
        <w:pStyle w:val="Listenabsatz"/>
        <w:numPr>
          <w:ilvl w:val="0"/>
          <w:numId w:val="1"/>
        </w:numPr>
      </w:pPr>
      <w:r>
        <w:t>Art.6(1)(b)--performance of a contract</w:t>
      </w:r>
    </w:p>
    <w:p w:rsidR="00FD3FED" w:rsidRDefault="00A81A20" w:rsidP="00FD3FED">
      <w:pPr>
        <w:pStyle w:val="Listenabsatz"/>
        <w:numPr>
          <w:ilvl w:val="1"/>
          <w:numId w:val="1"/>
        </w:numPr>
      </w:pPr>
      <w:r>
        <w:t xml:space="preserve">Field: </w:t>
      </w:r>
      <w:r w:rsidR="00FD3FED">
        <w:t xml:space="preserve">Reference </w:t>
      </w:r>
      <w:r w:rsidR="00D926F9">
        <w:t>to</w:t>
      </w:r>
      <w:r w:rsidR="00FD3FED">
        <w:t xml:space="preserve"> contract</w:t>
      </w:r>
    </w:p>
    <w:p w:rsidR="00FD3FED" w:rsidRDefault="00FD3FED" w:rsidP="00FD3FED">
      <w:pPr>
        <w:pStyle w:val="Listenabsatz"/>
        <w:numPr>
          <w:ilvl w:val="0"/>
          <w:numId w:val="1"/>
        </w:numPr>
      </w:pPr>
      <w:r>
        <w:t>Art.6(1)(c)--</w:t>
      </w:r>
      <w:r w:rsidRPr="00FD3FED">
        <w:t>compliance with a legal obligation</w:t>
      </w:r>
    </w:p>
    <w:p w:rsidR="00FD3FED" w:rsidRDefault="00A81A20" w:rsidP="00FD3FED">
      <w:pPr>
        <w:pStyle w:val="Listenabsatz"/>
        <w:numPr>
          <w:ilvl w:val="1"/>
          <w:numId w:val="1"/>
        </w:numPr>
      </w:pPr>
      <w:r>
        <w:t xml:space="preserve">Field: </w:t>
      </w:r>
      <w:r w:rsidR="00FD3FED">
        <w:t xml:space="preserve">Reference </w:t>
      </w:r>
      <w:r w:rsidR="00D926F9">
        <w:t>to</w:t>
      </w:r>
      <w:r w:rsidR="00FD3FED">
        <w:t xml:space="preserve"> </w:t>
      </w:r>
      <w:r w:rsidR="00D926F9">
        <w:t xml:space="preserve">external </w:t>
      </w:r>
      <w:r w:rsidR="00FD3FED">
        <w:t>legal obligation</w:t>
      </w:r>
    </w:p>
    <w:p w:rsidR="0071060D" w:rsidRDefault="00A81A20" w:rsidP="0071060D">
      <w:pPr>
        <w:pStyle w:val="Listenabsatz"/>
        <w:numPr>
          <w:ilvl w:val="2"/>
          <w:numId w:val="1"/>
        </w:numPr>
      </w:pPr>
      <w:r>
        <w:t xml:space="preserve">Comment: </w:t>
      </w:r>
      <w:r w:rsidR="0071060D">
        <w:t>Q: would that appear in the purposes?</w:t>
      </w:r>
    </w:p>
    <w:p w:rsidR="00FD3FED" w:rsidRDefault="00FD3FED" w:rsidP="00FD3FED">
      <w:pPr>
        <w:pStyle w:val="Listenabsatz"/>
        <w:numPr>
          <w:ilvl w:val="0"/>
          <w:numId w:val="1"/>
        </w:numPr>
      </w:pPr>
      <w:r>
        <w:t>Art.6(1)(</w:t>
      </w:r>
      <w:r w:rsidR="00D926F9">
        <w:t>d</w:t>
      </w:r>
      <w:r>
        <w:t>)—protection of the vital interests</w:t>
      </w:r>
    </w:p>
    <w:p w:rsidR="001B003B" w:rsidRDefault="001B003B" w:rsidP="00FD3FED">
      <w:pPr>
        <w:pStyle w:val="Listenabsatz"/>
        <w:numPr>
          <w:ilvl w:val="0"/>
          <w:numId w:val="1"/>
        </w:numPr>
      </w:pPr>
      <w:r>
        <w:t>Art.6(1)(</w:t>
      </w:r>
      <w:r w:rsidR="00D926F9">
        <w:t>e</w:t>
      </w:r>
      <w:r>
        <w:t>)—public interest or official authority</w:t>
      </w:r>
    </w:p>
    <w:p w:rsidR="001B003B" w:rsidRDefault="00A81A20" w:rsidP="001B003B">
      <w:pPr>
        <w:pStyle w:val="Listenabsatz"/>
        <w:numPr>
          <w:ilvl w:val="1"/>
          <w:numId w:val="1"/>
        </w:numPr>
      </w:pPr>
      <w:r>
        <w:t xml:space="preserve">Field: </w:t>
      </w:r>
      <w:r w:rsidR="001B003B">
        <w:t xml:space="preserve">Reference to </w:t>
      </w:r>
      <w:r w:rsidR="00D926F9">
        <w:t>external legal mandate</w:t>
      </w:r>
    </w:p>
    <w:p w:rsidR="0071060D" w:rsidRDefault="00A81A20" w:rsidP="0071060D">
      <w:pPr>
        <w:pStyle w:val="Listenabsatz"/>
        <w:numPr>
          <w:ilvl w:val="2"/>
          <w:numId w:val="1"/>
        </w:numPr>
      </w:pPr>
      <w:r>
        <w:t xml:space="preserve">Comment: </w:t>
      </w:r>
      <w:r w:rsidR="0071060D">
        <w:t>Q: would that appear in the purposes?</w:t>
      </w:r>
    </w:p>
    <w:p w:rsidR="001B003B" w:rsidRDefault="00D926F9" w:rsidP="006B444A">
      <w:pPr>
        <w:pStyle w:val="Listenabsatz"/>
        <w:numPr>
          <w:ilvl w:val="0"/>
          <w:numId w:val="1"/>
        </w:numPr>
      </w:pPr>
      <w:r>
        <w:t>Art.6(1)(f)—</w:t>
      </w:r>
      <w:r w:rsidR="006B444A" w:rsidRPr="006B444A">
        <w:t>legitimate interests</w:t>
      </w:r>
    </w:p>
    <w:p w:rsidR="006B444A" w:rsidRDefault="00A81A20" w:rsidP="006B444A">
      <w:pPr>
        <w:pStyle w:val="Listenabsatz"/>
        <w:numPr>
          <w:ilvl w:val="1"/>
          <w:numId w:val="1"/>
        </w:numPr>
      </w:pPr>
      <w:r>
        <w:t xml:space="preserve">Field: </w:t>
      </w:r>
      <w:bookmarkStart w:id="0" w:name="_GoBack"/>
      <w:bookmarkEnd w:id="0"/>
      <w:r w:rsidR="006B444A">
        <w:t>Description of legitimate interest</w:t>
      </w:r>
    </w:p>
    <w:p w:rsidR="006B444A" w:rsidRDefault="00A81A20" w:rsidP="006B444A">
      <w:pPr>
        <w:pStyle w:val="Listenabsatz"/>
        <w:numPr>
          <w:ilvl w:val="2"/>
          <w:numId w:val="1"/>
        </w:numPr>
      </w:pPr>
      <w:r>
        <w:t xml:space="preserve">Comment: </w:t>
      </w:r>
      <w:r w:rsidR="006B444A">
        <w:t>Required by 13(1)(d)</w:t>
      </w:r>
    </w:p>
    <w:p w:rsidR="00D67BDB" w:rsidRDefault="00D67BDB" w:rsidP="00D67BDB">
      <w:pPr>
        <w:pStyle w:val="Listenabsatz"/>
        <w:numPr>
          <w:ilvl w:val="0"/>
          <w:numId w:val="1"/>
        </w:numPr>
      </w:pPr>
      <w:r>
        <w:t>Art.9(2)(a)—</w:t>
      </w:r>
      <w:r w:rsidR="00D35C6B">
        <w:t>explicit consent</w:t>
      </w:r>
    </w:p>
    <w:p w:rsidR="00D67BDB" w:rsidRDefault="00D67BDB" w:rsidP="00D35C6B">
      <w:pPr>
        <w:pStyle w:val="Listenabsatz"/>
        <w:numPr>
          <w:ilvl w:val="0"/>
          <w:numId w:val="1"/>
        </w:numPr>
      </w:pPr>
      <w:r>
        <w:t>Art.9(2)(b)—</w:t>
      </w:r>
      <w:r w:rsidR="00D35C6B" w:rsidRPr="00D35C6B">
        <w:t>employment and social security and social protection law</w:t>
      </w:r>
    </w:p>
    <w:p w:rsidR="00D67BDB" w:rsidRDefault="00D67BDB" w:rsidP="00D67BDB">
      <w:pPr>
        <w:pStyle w:val="Listenabsatz"/>
        <w:numPr>
          <w:ilvl w:val="0"/>
          <w:numId w:val="1"/>
        </w:numPr>
      </w:pPr>
      <w:r>
        <w:t>Art.9(2)(c)—</w:t>
      </w:r>
      <w:r w:rsidR="00D35C6B">
        <w:t>protection of the vital interests</w:t>
      </w:r>
    </w:p>
    <w:p w:rsidR="00D67BDB" w:rsidRDefault="00D67BDB" w:rsidP="00D35C6B">
      <w:pPr>
        <w:pStyle w:val="Listenabsatz"/>
        <w:numPr>
          <w:ilvl w:val="0"/>
          <w:numId w:val="1"/>
        </w:numPr>
      </w:pPr>
      <w:r>
        <w:t>Art.9(2)(d)—</w:t>
      </w:r>
      <w:r w:rsidR="00D35C6B">
        <w:t>l</w:t>
      </w:r>
      <w:r w:rsidR="00D35C6B" w:rsidRPr="00D35C6B">
        <w:t>egitimate activities by a foundation, association or any other not-for-profit body with a political, philosophical, religious or trade union aim</w:t>
      </w:r>
    </w:p>
    <w:p w:rsidR="00D67BDB" w:rsidRDefault="00D67BDB" w:rsidP="00D67BDB">
      <w:pPr>
        <w:pStyle w:val="Listenabsatz"/>
        <w:numPr>
          <w:ilvl w:val="0"/>
          <w:numId w:val="1"/>
        </w:numPr>
      </w:pPr>
      <w:r>
        <w:t>Art.9(2)(e)—</w:t>
      </w:r>
      <w:r w:rsidR="00D35C6B">
        <w:t>data manifestly made public by the data subject</w:t>
      </w:r>
    </w:p>
    <w:p w:rsidR="00D67BDB" w:rsidRDefault="00D67BDB" w:rsidP="002C02E7">
      <w:pPr>
        <w:pStyle w:val="Listenabsatz"/>
        <w:numPr>
          <w:ilvl w:val="0"/>
          <w:numId w:val="1"/>
        </w:numPr>
      </w:pPr>
      <w:r>
        <w:t>Art.9(2)(f)—</w:t>
      </w:r>
      <w:r w:rsidR="002C02E7" w:rsidRPr="002C02E7">
        <w:t xml:space="preserve">establishment, exercise or </w:t>
      </w:r>
      <w:proofErr w:type="spellStart"/>
      <w:r w:rsidR="002C02E7" w:rsidRPr="002C02E7">
        <w:t>defence</w:t>
      </w:r>
      <w:proofErr w:type="spellEnd"/>
      <w:r w:rsidR="002C02E7" w:rsidRPr="002C02E7">
        <w:t xml:space="preserve"> of legal claims</w:t>
      </w:r>
      <w:r w:rsidR="002C02E7">
        <w:t xml:space="preserve"> / </w:t>
      </w:r>
      <w:r w:rsidR="002C02E7" w:rsidRPr="002C02E7">
        <w:t>courts acting in their judicial capacity</w:t>
      </w:r>
    </w:p>
    <w:p w:rsidR="00D67BDB" w:rsidRDefault="00D67BDB" w:rsidP="002C02E7">
      <w:pPr>
        <w:pStyle w:val="Listenabsatz"/>
        <w:numPr>
          <w:ilvl w:val="0"/>
          <w:numId w:val="1"/>
        </w:numPr>
      </w:pPr>
      <w:r>
        <w:t>Art.9(2)(g)—</w:t>
      </w:r>
      <w:r w:rsidR="002C02E7" w:rsidRPr="002C02E7">
        <w:t>substantial public interest, on the basis of Union or Member State law</w:t>
      </w:r>
    </w:p>
    <w:p w:rsidR="00D67BDB" w:rsidRDefault="00D67BDB" w:rsidP="00D67BDB">
      <w:pPr>
        <w:pStyle w:val="Listenabsatz"/>
        <w:numPr>
          <w:ilvl w:val="0"/>
          <w:numId w:val="1"/>
        </w:numPr>
      </w:pPr>
      <w:proofErr w:type="gramStart"/>
      <w:r>
        <w:t>Art.9(</w:t>
      </w:r>
      <w:proofErr w:type="gramEnd"/>
      <w:r>
        <w:t>2)(h)—</w:t>
      </w:r>
      <w:r w:rsidR="00973528">
        <w:t>preventive or occupational medicine, &lt;and much more!!!&gt;</w:t>
      </w:r>
    </w:p>
    <w:p w:rsidR="00D67BDB" w:rsidRDefault="00D67BDB" w:rsidP="003C655E">
      <w:pPr>
        <w:pStyle w:val="Listenabsatz"/>
        <w:numPr>
          <w:ilvl w:val="0"/>
          <w:numId w:val="1"/>
        </w:numPr>
      </w:pPr>
      <w:r>
        <w:t>Art.9(2)(</w:t>
      </w:r>
      <w:proofErr w:type="spellStart"/>
      <w:r>
        <w:t>i</w:t>
      </w:r>
      <w:proofErr w:type="spellEnd"/>
      <w:r>
        <w:t>)—</w:t>
      </w:r>
      <w:r w:rsidR="003C655E" w:rsidRPr="003C655E">
        <w:t>public interest in public health</w:t>
      </w:r>
    </w:p>
    <w:p w:rsidR="00D67BDB" w:rsidRDefault="00D67BDB" w:rsidP="00EC25BD">
      <w:pPr>
        <w:pStyle w:val="Listenabsatz"/>
        <w:numPr>
          <w:ilvl w:val="0"/>
          <w:numId w:val="1"/>
        </w:numPr>
      </w:pPr>
      <w:r>
        <w:t>Art.9(2)(j)—</w:t>
      </w:r>
      <w:r w:rsidR="00EC25BD" w:rsidRPr="00EC25BD">
        <w:t>public interest, scientific or historical research purposes or statistical purposes based on Union or Member State law</w:t>
      </w:r>
    </w:p>
    <w:p w:rsidR="00EC25BD" w:rsidRDefault="00EC25BD" w:rsidP="00527F2D">
      <w:pPr>
        <w:pStyle w:val="Listenabsatz"/>
        <w:numPr>
          <w:ilvl w:val="1"/>
          <w:numId w:val="1"/>
        </w:numPr>
      </w:pPr>
      <w:r w:rsidRPr="00EC25BD">
        <w:t>in accordance with Article 89(1)</w:t>
      </w:r>
    </w:p>
    <w:p w:rsidR="00F32C25" w:rsidRPr="00F32C25" w:rsidRDefault="00A81A20" w:rsidP="00F32C25">
      <w:pPr>
        <w:rPr>
          <w:sz w:val="18"/>
        </w:rPr>
      </w:pPr>
      <w:r w:rsidRPr="00F32C25">
        <w:rPr>
          <w:sz w:val="18"/>
        </w:rPr>
        <w:t xml:space="preserve"> </w:t>
      </w:r>
      <w:r w:rsidR="00F32C25" w:rsidRPr="00F32C25">
        <w:rPr>
          <w:sz w:val="18"/>
        </w:rPr>
        <w:t xml:space="preserve">[1] Article 29 Data Protection Working Party, WP259 rev.01, </w:t>
      </w:r>
      <w:proofErr w:type="gramStart"/>
      <w:r w:rsidR="00F32C25" w:rsidRPr="00F32C25">
        <w:rPr>
          <w:sz w:val="18"/>
        </w:rPr>
        <w:t>Adopted</w:t>
      </w:r>
      <w:proofErr w:type="gramEnd"/>
      <w:r w:rsidR="00F32C25" w:rsidRPr="00F32C25">
        <w:rPr>
          <w:sz w:val="18"/>
        </w:rPr>
        <w:t xml:space="preserve"> on 28 November 2017, As last Revised and Adopted on 10 April 2018, Article 29 Working Party Guidelines on consent under Regulation 2016/679.</w:t>
      </w:r>
    </w:p>
    <w:sectPr w:rsidR="00F32C25" w:rsidRPr="00F32C2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0488"/>
    <w:multiLevelType w:val="hybridMultilevel"/>
    <w:tmpl w:val="19F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E"/>
    <w:rsid w:val="001B003B"/>
    <w:rsid w:val="002B1C97"/>
    <w:rsid w:val="002C02E7"/>
    <w:rsid w:val="003C655E"/>
    <w:rsid w:val="00516931"/>
    <w:rsid w:val="00527F2D"/>
    <w:rsid w:val="006B444A"/>
    <w:rsid w:val="0071060D"/>
    <w:rsid w:val="00872640"/>
    <w:rsid w:val="00973528"/>
    <w:rsid w:val="00A81A20"/>
    <w:rsid w:val="00B544D6"/>
    <w:rsid w:val="00D35C6B"/>
    <w:rsid w:val="00D67BDB"/>
    <w:rsid w:val="00D926F9"/>
    <w:rsid w:val="00EC25BD"/>
    <w:rsid w:val="00F32C25"/>
    <w:rsid w:val="00FD3FED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D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D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P. Bruegger</dc:creator>
  <cp:lastModifiedBy>Bud P. Bruegger</cp:lastModifiedBy>
  <cp:revision>3</cp:revision>
  <dcterms:created xsi:type="dcterms:W3CDTF">2019-04-01T11:33:00Z</dcterms:created>
  <dcterms:modified xsi:type="dcterms:W3CDTF">2019-04-01T11:35:00Z</dcterms:modified>
</cp:coreProperties>
</file>