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D3E4B" w14:textId="1B920B39" w:rsidR="00006D41" w:rsidRPr="00006D41" w:rsidRDefault="00FA517F" w:rsidP="003D5645">
      <w:pPr>
        <w:pStyle w:val="Heading1"/>
        <w:rPr>
          <w:rFonts w:eastAsiaTheme="minorEastAsia"/>
        </w:rPr>
      </w:pPr>
      <w:r w:rsidRPr="00006D41">
        <w:rPr>
          <w:rFonts w:eastAsiaTheme="minorEastAsia"/>
        </w:rPr>
        <w:t xml:space="preserve">Methodology </w:t>
      </w:r>
      <w:r w:rsidR="003D5645">
        <w:rPr>
          <w:rFonts w:eastAsiaTheme="minorEastAsia"/>
        </w:rPr>
        <w:t xml:space="preserve">- </w:t>
      </w:r>
      <w:r w:rsidR="00006D41" w:rsidRPr="00006D41">
        <w:rPr>
          <w:rFonts w:eastAsiaTheme="minorEastAsia"/>
        </w:rPr>
        <w:t xml:space="preserve">Ethical </w:t>
      </w:r>
      <w:r w:rsidR="005A0BE4">
        <w:rPr>
          <w:rFonts w:eastAsiaTheme="minorEastAsia"/>
        </w:rPr>
        <w:t>issues</w:t>
      </w:r>
      <w:r w:rsidR="003D5645">
        <w:rPr>
          <w:rFonts w:eastAsiaTheme="minorEastAsia"/>
        </w:rPr>
        <w:t xml:space="preserve"> and consent</w:t>
      </w:r>
    </w:p>
    <w:p w14:paraId="285B8F00" w14:textId="43CEB3D1" w:rsidR="005A0BE4" w:rsidRDefault="005A0BE4" w:rsidP="005A0BE4">
      <w:pPr>
        <w:jc w:val="both"/>
        <w:rPr>
          <w:rFonts w:eastAsiaTheme="minorEastAsia"/>
          <w:b/>
          <w:i/>
        </w:rPr>
      </w:pPr>
      <w:r w:rsidRPr="005A0BE4">
        <w:rPr>
          <w:rFonts w:eastAsiaTheme="minorEastAsia"/>
          <w:b/>
          <w:i/>
        </w:rPr>
        <w:t xml:space="preserve">“Ethical issues are not just something that needs to be </w:t>
      </w:r>
      <w:proofErr w:type="gramStart"/>
      <w:r w:rsidRPr="005A0BE4">
        <w:rPr>
          <w:rFonts w:eastAsiaTheme="minorEastAsia"/>
          <w:b/>
          <w:i/>
        </w:rPr>
        <w:t>taken into account</w:t>
      </w:r>
      <w:proofErr w:type="gramEnd"/>
      <w:r w:rsidRPr="005A0BE4">
        <w:rPr>
          <w:rFonts w:eastAsiaTheme="minorEastAsia"/>
          <w:b/>
          <w:i/>
        </w:rPr>
        <w:t xml:space="preserve"> in completing application forms for ethics committees. Consideration of ethical issues should be a feature of each stage of focus group research </w:t>
      </w:r>
      <w:r w:rsidR="00E33B95">
        <w:rPr>
          <w:rFonts w:eastAsiaTheme="minorEastAsia"/>
          <w:b/>
          <w:i/>
        </w:rPr>
        <w:t>…</w:t>
      </w:r>
      <w:r w:rsidRPr="005A0BE4">
        <w:rPr>
          <w:rFonts w:eastAsiaTheme="minorEastAsia"/>
          <w:b/>
          <w:i/>
        </w:rPr>
        <w:t>.” (Barbour, 2009, p.100)</w:t>
      </w:r>
    </w:p>
    <w:p w14:paraId="6BD53203" w14:textId="6CEC9C2A" w:rsidR="0076166A" w:rsidRDefault="0076166A" w:rsidP="005A0BE4">
      <w:pPr>
        <w:jc w:val="both"/>
        <w:rPr>
          <w:rFonts w:eastAsiaTheme="minorEastAsia"/>
          <w:b/>
          <w:i/>
        </w:rPr>
      </w:pPr>
    </w:p>
    <w:p w14:paraId="67913779" w14:textId="77777777" w:rsidR="0076166A" w:rsidRDefault="0076166A" w:rsidP="0076166A">
      <w:pPr>
        <w:rPr>
          <w:lang w:eastAsia="de-DE"/>
        </w:rPr>
      </w:pPr>
      <w:r w:rsidRPr="0093706A">
        <w:rPr>
          <w:rFonts w:eastAsia="Times New Roman" w:cs="Helvetica"/>
          <w:szCs w:val="20"/>
        </w:rPr>
        <w:t>SMART4</w:t>
      </w:r>
      <w:proofErr w:type="gramStart"/>
      <w:r w:rsidRPr="0093706A">
        <w:rPr>
          <w:rFonts w:eastAsia="Times New Roman" w:cs="Helvetica"/>
          <w:szCs w:val="20"/>
        </w:rPr>
        <w:t xml:space="preserve">MD </w:t>
      </w:r>
      <w:r>
        <w:rPr>
          <w:rFonts w:eastAsia="Times New Roman" w:cs="Helvetica"/>
          <w:szCs w:val="20"/>
        </w:rPr>
        <w:t xml:space="preserve"> is</w:t>
      </w:r>
      <w:proofErr w:type="gramEnd"/>
      <w:r>
        <w:rPr>
          <w:rFonts w:eastAsia="Times New Roman" w:cs="Helvetica"/>
          <w:szCs w:val="20"/>
        </w:rPr>
        <w:t xml:space="preserve"> an app and platform developed under </w:t>
      </w:r>
      <w:r w:rsidRPr="009F0055">
        <w:t xml:space="preserve">European Commission, H2020 Project </w:t>
      </w:r>
      <w:r w:rsidRPr="009F0055">
        <w:rPr>
          <w:lang w:eastAsia="de-DE"/>
        </w:rPr>
        <w:t>643399</w:t>
      </w:r>
      <w:r>
        <w:rPr>
          <w:lang w:eastAsia="de-DE"/>
        </w:rPr>
        <w:t xml:space="preserve"> for people living  with dementia to manage their health and improve their quality of life.  </w:t>
      </w:r>
    </w:p>
    <w:p w14:paraId="4C2FF9DB" w14:textId="67410726" w:rsidR="0076166A" w:rsidRPr="0076166A" w:rsidRDefault="0076166A" w:rsidP="0076166A">
      <w:pPr>
        <w:jc w:val="both"/>
        <w:rPr>
          <w:rFonts w:eastAsiaTheme="minorEastAsia"/>
          <w:bCs/>
          <w:iCs/>
        </w:rPr>
      </w:pPr>
      <w:r>
        <w:t xml:space="preserve">The project used focus groups, design guidelines based on COGA research, and userability testing to help adapt the platform for </w:t>
      </w:r>
      <w:r>
        <w:rPr>
          <w:lang w:eastAsia="de-DE"/>
        </w:rPr>
        <w:t>people living with dementia</w:t>
      </w:r>
      <w:bookmarkStart w:id="0" w:name="_GoBack"/>
      <w:bookmarkEnd w:id="0"/>
      <w:r>
        <w:t>. The following is a summary of the methodology used</w:t>
      </w:r>
      <w:r>
        <w:t xml:space="preserve"> for ethical considerations such as informed consent.</w:t>
      </w:r>
    </w:p>
    <w:p w14:paraId="5B89BEFA" w14:textId="77777777" w:rsidR="003C1169" w:rsidRDefault="003C1169" w:rsidP="00210CBA">
      <w:pPr>
        <w:pStyle w:val="Heading2"/>
        <w:rPr>
          <w:rFonts w:eastAsiaTheme="minorEastAsia"/>
        </w:rPr>
      </w:pPr>
      <w:r>
        <w:rPr>
          <w:rFonts w:eastAsiaTheme="minorEastAsia"/>
        </w:rPr>
        <w:t>Respecting autonomy</w:t>
      </w:r>
    </w:p>
    <w:p w14:paraId="4E705DB4" w14:textId="77777777" w:rsidR="00FA517F" w:rsidRPr="003C1169" w:rsidRDefault="00FA517F" w:rsidP="00210CBA">
      <w:pPr>
        <w:pStyle w:val="Heading3"/>
        <w:rPr>
          <w:rFonts w:eastAsiaTheme="minorEastAsia"/>
        </w:rPr>
      </w:pPr>
      <w:r w:rsidRPr="003C1169">
        <w:rPr>
          <w:rFonts w:eastAsiaTheme="minorEastAsia"/>
        </w:rPr>
        <w:t>Informed consent process</w:t>
      </w:r>
      <w:r w:rsidR="00547884" w:rsidRPr="003C1169">
        <w:rPr>
          <w:rFonts w:eastAsiaTheme="minorEastAsia"/>
        </w:rPr>
        <w:t xml:space="preserve"> </w:t>
      </w:r>
    </w:p>
    <w:p w14:paraId="47C796E9" w14:textId="77777777" w:rsidR="00CA1C29" w:rsidRDefault="00CA1C29" w:rsidP="00474AEA">
      <w:pPr>
        <w:jc w:val="both"/>
        <w:rPr>
          <w:rFonts w:eastAsiaTheme="minorEastAsia"/>
        </w:rPr>
      </w:pPr>
      <w:r>
        <w:rPr>
          <w:rFonts w:eastAsiaTheme="minorEastAsia"/>
        </w:rPr>
        <w:t xml:space="preserve">A key condition for the conduct of ethical research is that participants have been informed of and understand the purpose of the study and of possible harm which might arise as a result of participation, that they have given informed consent and that appropriate measures have been taken to minimise the likelihood of harm occurring. </w:t>
      </w:r>
      <w:r w:rsidR="004864CE">
        <w:rPr>
          <w:rFonts w:eastAsiaTheme="minorEastAsia"/>
        </w:rPr>
        <w:t xml:space="preserve">Article 1 of the Declaration of Helsinki </w:t>
      </w:r>
      <w:r w:rsidR="00E33B95">
        <w:rPr>
          <w:rFonts w:eastAsiaTheme="minorEastAsia"/>
        </w:rPr>
        <w:t xml:space="preserve">(World Medical Association, 2000) </w:t>
      </w:r>
      <w:r w:rsidR="004864CE">
        <w:rPr>
          <w:rFonts w:eastAsiaTheme="minorEastAsia"/>
        </w:rPr>
        <w:t xml:space="preserve">covers respect for the autonomy of research participants. </w:t>
      </w:r>
      <w:r>
        <w:rPr>
          <w:rFonts w:eastAsiaTheme="minorEastAsia"/>
        </w:rPr>
        <w:t>Respect for a</w:t>
      </w:r>
      <w:r w:rsidR="004864CE">
        <w:rPr>
          <w:rFonts w:eastAsiaTheme="minorEastAsia"/>
        </w:rPr>
        <w:t xml:space="preserve">utonomy </w:t>
      </w:r>
      <w:r w:rsidR="00D43A8A">
        <w:rPr>
          <w:rFonts w:eastAsiaTheme="minorEastAsia"/>
        </w:rPr>
        <w:t>is t</w:t>
      </w:r>
      <w:r w:rsidR="00D43A8A" w:rsidRPr="00D43A8A">
        <w:rPr>
          <w:rFonts w:eastAsiaTheme="minorEastAsia"/>
        </w:rPr>
        <w:t xml:space="preserve">raditionally described as the </w:t>
      </w:r>
      <w:r>
        <w:rPr>
          <w:rFonts w:eastAsiaTheme="minorEastAsia"/>
        </w:rPr>
        <w:t>“the norm of</w:t>
      </w:r>
      <w:r w:rsidR="004864CE">
        <w:rPr>
          <w:rFonts w:eastAsiaTheme="minorEastAsia"/>
        </w:rPr>
        <w:t xml:space="preserve"> </w:t>
      </w:r>
      <w:r w:rsidR="00E33B95">
        <w:rPr>
          <w:rFonts w:eastAsiaTheme="minorEastAsia"/>
        </w:rPr>
        <w:t xml:space="preserve">respecting the decision-making capacities of </w:t>
      </w:r>
      <w:r>
        <w:rPr>
          <w:rFonts w:eastAsiaTheme="minorEastAsia"/>
        </w:rPr>
        <w:t xml:space="preserve">autonomous </w:t>
      </w:r>
      <w:r w:rsidR="00E33B95">
        <w:rPr>
          <w:rFonts w:eastAsiaTheme="minorEastAsia"/>
        </w:rPr>
        <w:t>individuals</w:t>
      </w:r>
      <w:r w:rsidR="005E450C">
        <w:rPr>
          <w:rFonts w:eastAsiaTheme="minorEastAsia"/>
        </w:rPr>
        <w:t>”</w:t>
      </w:r>
      <w:r w:rsidR="00E33B95">
        <w:rPr>
          <w:rFonts w:eastAsiaTheme="minorEastAsia"/>
        </w:rPr>
        <w:t xml:space="preserve"> (</w:t>
      </w:r>
      <w:r>
        <w:rPr>
          <w:rFonts w:eastAsiaTheme="minorEastAsia"/>
        </w:rPr>
        <w:t>Beauchamp and Childress, 2008, p.12</w:t>
      </w:r>
      <w:r w:rsidR="00E33B95">
        <w:rPr>
          <w:rFonts w:eastAsiaTheme="minorEastAsia"/>
        </w:rPr>
        <w:t>)</w:t>
      </w:r>
      <w:r w:rsidR="00D43A8A">
        <w:rPr>
          <w:rFonts w:eastAsiaTheme="minorEastAsia"/>
        </w:rPr>
        <w:t xml:space="preserve">. </w:t>
      </w:r>
      <w:r w:rsidR="00230B5C">
        <w:rPr>
          <w:rFonts w:eastAsiaTheme="minorEastAsia"/>
        </w:rPr>
        <w:t>Where autonomy may be diminished, participants must be protected from exploitation of thei</w:t>
      </w:r>
      <w:r w:rsidR="00474AEA">
        <w:rPr>
          <w:rFonts w:eastAsiaTheme="minorEastAsia"/>
        </w:rPr>
        <w:t xml:space="preserve">r vulnerability and their dignity must be respected (Belmont report, 1979, </w:t>
      </w:r>
      <w:r w:rsidR="00230B5C">
        <w:rPr>
          <w:rFonts w:eastAsiaTheme="minorEastAsia"/>
        </w:rPr>
        <w:t xml:space="preserve">quoted by </w:t>
      </w:r>
      <w:r w:rsidR="00735DC1">
        <w:rPr>
          <w:rFonts w:eastAsiaTheme="minorEastAsia"/>
        </w:rPr>
        <w:t>Mack et al., 2005</w:t>
      </w:r>
      <w:r w:rsidR="00230B5C">
        <w:rPr>
          <w:rFonts w:eastAsiaTheme="minorEastAsia"/>
        </w:rPr>
        <w:t>).</w:t>
      </w:r>
      <w:r w:rsidR="00474AEA">
        <w:rPr>
          <w:rFonts w:eastAsiaTheme="minorEastAsia"/>
        </w:rPr>
        <w:t xml:space="preserve"> </w:t>
      </w:r>
    </w:p>
    <w:p w14:paraId="4EF53E49" w14:textId="77777777" w:rsidR="00735DC1" w:rsidRDefault="00474AEA" w:rsidP="00474AEA">
      <w:pPr>
        <w:jc w:val="both"/>
        <w:rPr>
          <w:rFonts w:eastAsiaTheme="minorEastAsia"/>
        </w:rPr>
      </w:pPr>
      <w:r>
        <w:rPr>
          <w:rFonts w:eastAsiaTheme="minorEastAsia"/>
        </w:rPr>
        <w:t xml:space="preserve">Whilst these documents </w:t>
      </w:r>
      <w:r w:rsidR="00CA1C29">
        <w:rPr>
          <w:rFonts w:eastAsiaTheme="minorEastAsia"/>
        </w:rPr>
        <w:t xml:space="preserve">and definitions </w:t>
      </w:r>
      <w:r>
        <w:rPr>
          <w:rFonts w:eastAsiaTheme="minorEastAsia"/>
        </w:rPr>
        <w:t xml:space="preserve">were developed in the context of biomedical research, non-medical research involving humans, especially those who are vulnerable, </w:t>
      </w:r>
      <w:r w:rsidR="00CA1C29">
        <w:rPr>
          <w:rFonts w:eastAsiaTheme="minorEastAsia"/>
        </w:rPr>
        <w:t xml:space="preserve">also </w:t>
      </w:r>
      <w:r>
        <w:rPr>
          <w:rFonts w:eastAsiaTheme="minorEastAsia"/>
        </w:rPr>
        <w:t>typically requires ethical approval</w:t>
      </w:r>
      <w:r w:rsidR="00CA1C29">
        <w:rPr>
          <w:rFonts w:eastAsiaTheme="minorEastAsia"/>
        </w:rPr>
        <w:t>,</w:t>
      </w:r>
      <w:r>
        <w:rPr>
          <w:rFonts w:eastAsiaTheme="minorEastAsia"/>
        </w:rPr>
        <w:t xml:space="preserve"> involving obtained informed consent. </w:t>
      </w:r>
      <w:r w:rsidR="00735DC1">
        <w:rPr>
          <w:rFonts w:eastAsiaTheme="minorEastAsia"/>
        </w:rPr>
        <w:t xml:space="preserve">The two main values governing the need to obtain </w:t>
      </w:r>
      <w:r w:rsidR="005E450C">
        <w:rPr>
          <w:rFonts w:eastAsiaTheme="minorEastAsia"/>
        </w:rPr>
        <w:t xml:space="preserve">informed consent </w:t>
      </w:r>
      <w:r w:rsidR="00735DC1">
        <w:rPr>
          <w:rFonts w:eastAsiaTheme="minorEastAsia"/>
        </w:rPr>
        <w:t xml:space="preserve">are: 1. </w:t>
      </w:r>
      <w:r w:rsidR="00621798">
        <w:rPr>
          <w:rFonts w:eastAsiaTheme="minorEastAsia"/>
        </w:rPr>
        <w:t>t</w:t>
      </w:r>
      <w:r w:rsidR="00735DC1">
        <w:rPr>
          <w:rFonts w:eastAsiaTheme="minorEastAsia"/>
        </w:rPr>
        <w:t xml:space="preserve">o promote and protect the person’s wellbeing, 2. </w:t>
      </w:r>
      <w:r w:rsidR="00621798">
        <w:rPr>
          <w:rFonts w:eastAsiaTheme="minorEastAsia"/>
        </w:rPr>
        <w:t>t</w:t>
      </w:r>
      <w:r w:rsidR="00735DC1">
        <w:rPr>
          <w:rFonts w:eastAsiaTheme="minorEastAsia"/>
        </w:rPr>
        <w:t>o respect the person’s self</w:t>
      </w:r>
      <w:r w:rsidR="00271321">
        <w:rPr>
          <w:rFonts w:eastAsiaTheme="minorEastAsia"/>
        </w:rPr>
        <w:t>-</w:t>
      </w:r>
      <w:r w:rsidR="00735DC1">
        <w:rPr>
          <w:rFonts w:eastAsiaTheme="minorEastAsia"/>
        </w:rPr>
        <w:t>determination (Buchanan and Brock, 1990).</w:t>
      </w:r>
      <w:r w:rsidR="00F612F3">
        <w:rPr>
          <w:rFonts w:eastAsiaTheme="minorEastAsia"/>
        </w:rPr>
        <w:t xml:space="preserve"> </w:t>
      </w:r>
      <w:r w:rsidR="005E450C">
        <w:rPr>
          <w:rFonts w:eastAsiaTheme="minorEastAsia"/>
        </w:rPr>
        <w:t>I</w:t>
      </w:r>
      <w:r w:rsidR="00271321" w:rsidRPr="00271321">
        <w:rPr>
          <w:rFonts w:eastAsiaTheme="minorEastAsia"/>
        </w:rPr>
        <w:t>f the planned focus groups are considered as consultations</w:t>
      </w:r>
      <w:r w:rsidR="00271321">
        <w:rPr>
          <w:rFonts w:eastAsiaTheme="minorEastAsia"/>
        </w:rPr>
        <w:t xml:space="preserve"> (e.g.</w:t>
      </w:r>
      <w:r w:rsidR="00271321" w:rsidRPr="00271321">
        <w:rPr>
          <w:rFonts w:eastAsiaTheme="minorEastAsia"/>
        </w:rPr>
        <w:t xml:space="preserve"> in the context of patient and participant involvement</w:t>
      </w:r>
      <w:r w:rsidR="00271321">
        <w:rPr>
          <w:rFonts w:eastAsiaTheme="minorEastAsia"/>
        </w:rPr>
        <w:t>)</w:t>
      </w:r>
      <w:r w:rsidR="005E450C">
        <w:rPr>
          <w:rFonts w:eastAsiaTheme="minorEastAsia"/>
        </w:rPr>
        <w:t xml:space="preserve"> rather than research</w:t>
      </w:r>
      <w:r w:rsidR="00271321" w:rsidRPr="00271321">
        <w:rPr>
          <w:rFonts w:eastAsiaTheme="minorEastAsia"/>
        </w:rPr>
        <w:t xml:space="preserve">, it is likely that in most countries, ethical approval and a formal consent process involving the assessment of capacity </w:t>
      </w:r>
      <w:r w:rsidR="00271321">
        <w:rPr>
          <w:rFonts w:eastAsiaTheme="minorEastAsia"/>
        </w:rPr>
        <w:t xml:space="preserve">would not be </w:t>
      </w:r>
      <w:r w:rsidR="00271321" w:rsidRPr="00271321">
        <w:rPr>
          <w:rFonts w:eastAsiaTheme="minorEastAsia"/>
        </w:rPr>
        <w:t>needed</w:t>
      </w:r>
      <w:r w:rsidR="005E450C">
        <w:rPr>
          <w:rFonts w:eastAsiaTheme="minorEastAsia"/>
        </w:rPr>
        <w:t xml:space="preserve">. This </w:t>
      </w:r>
      <w:r w:rsidR="00271321">
        <w:rPr>
          <w:rFonts w:eastAsiaTheme="minorEastAsia"/>
        </w:rPr>
        <w:t xml:space="preserve">should be verified. However, </w:t>
      </w:r>
      <w:r w:rsidR="005E450C">
        <w:rPr>
          <w:rFonts w:eastAsiaTheme="minorEastAsia"/>
        </w:rPr>
        <w:t>the consultations/focus groups are being conducted in the context of a research project.</w:t>
      </w:r>
      <w:r w:rsidR="00271321">
        <w:rPr>
          <w:rFonts w:eastAsiaTheme="minorEastAsia"/>
        </w:rPr>
        <w:t xml:space="preserve"> </w:t>
      </w:r>
      <w:r w:rsidR="005E450C">
        <w:rPr>
          <w:rFonts w:eastAsiaTheme="minorEastAsia"/>
        </w:rPr>
        <w:t>Consequently, although</w:t>
      </w:r>
      <w:r w:rsidR="00271321">
        <w:rPr>
          <w:rFonts w:eastAsiaTheme="minorEastAsia"/>
        </w:rPr>
        <w:t xml:space="preserve"> a formal informed consent procedure may not be an ethical or legal requirement, </w:t>
      </w:r>
      <w:r w:rsidR="005E450C">
        <w:rPr>
          <w:rFonts w:eastAsiaTheme="minorEastAsia"/>
        </w:rPr>
        <w:t>we could still consider obtaining such consent.</w:t>
      </w:r>
    </w:p>
    <w:p w14:paraId="316367F6" w14:textId="77777777" w:rsidR="006613D7" w:rsidRDefault="00E33B95" w:rsidP="00E33B95">
      <w:pPr>
        <w:jc w:val="both"/>
        <w:rPr>
          <w:rFonts w:eastAsiaTheme="minorEastAsia"/>
        </w:rPr>
      </w:pPr>
      <w:r>
        <w:rPr>
          <w:rFonts w:eastAsiaTheme="minorEastAsia"/>
        </w:rPr>
        <w:t>C</w:t>
      </w:r>
      <w:r w:rsidR="004864CE">
        <w:rPr>
          <w:rFonts w:eastAsiaTheme="minorEastAsia"/>
        </w:rPr>
        <w:t xml:space="preserve">onsent can be </w:t>
      </w:r>
      <w:r>
        <w:rPr>
          <w:rFonts w:eastAsiaTheme="minorEastAsia"/>
        </w:rPr>
        <w:t>considered</w:t>
      </w:r>
      <w:r w:rsidR="004864CE">
        <w:rPr>
          <w:rFonts w:eastAsiaTheme="minorEastAsia"/>
        </w:rPr>
        <w:t xml:space="preserve"> </w:t>
      </w:r>
      <w:r>
        <w:rPr>
          <w:rFonts w:eastAsiaTheme="minorEastAsia"/>
        </w:rPr>
        <w:t>valid if it has been given by a person with the necessary capacity and provided</w:t>
      </w:r>
      <w:r w:rsidR="004864CE">
        <w:rPr>
          <w:rFonts w:eastAsiaTheme="minorEastAsia"/>
        </w:rPr>
        <w:t xml:space="preserve"> voluntar</w:t>
      </w:r>
      <w:r>
        <w:rPr>
          <w:rFonts w:eastAsiaTheme="minorEastAsia"/>
        </w:rPr>
        <w:t>il</w:t>
      </w:r>
      <w:r w:rsidR="004864CE">
        <w:rPr>
          <w:rFonts w:eastAsiaTheme="minorEastAsia"/>
        </w:rPr>
        <w:t>y (not obtained under duress)</w:t>
      </w:r>
      <w:r>
        <w:rPr>
          <w:rFonts w:eastAsiaTheme="minorEastAsia"/>
        </w:rPr>
        <w:t xml:space="preserve">, based on the provision of relevant information (e.g. </w:t>
      </w:r>
      <w:r w:rsidR="004864CE">
        <w:rPr>
          <w:rFonts w:eastAsiaTheme="minorEastAsia"/>
        </w:rPr>
        <w:t>full details of what is involved</w:t>
      </w:r>
      <w:r>
        <w:rPr>
          <w:rFonts w:eastAsiaTheme="minorEastAsia"/>
        </w:rPr>
        <w:t>, including possible risks and benefits).</w:t>
      </w:r>
      <w:r w:rsidR="00F612F3">
        <w:rPr>
          <w:rFonts w:eastAsiaTheme="minorEastAsia"/>
        </w:rPr>
        <w:t xml:space="preserve"> </w:t>
      </w:r>
      <w:r w:rsidR="00D43A8A">
        <w:rPr>
          <w:rFonts w:eastAsiaTheme="minorEastAsia"/>
        </w:rPr>
        <w:t xml:space="preserve">It is therefore </w:t>
      </w:r>
      <w:r w:rsidR="008112D9">
        <w:rPr>
          <w:rFonts w:eastAsiaTheme="minorEastAsia"/>
        </w:rPr>
        <w:t xml:space="preserve">important to provide participants with the information they need to make an informed decision and this can be achieved either verbally or in writing and either before the consultation or on the day. Both are possible i.e. a participant information sheet given to participants before the event and a brief presentation at the start of the consultation. </w:t>
      </w:r>
    </w:p>
    <w:p w14:paraId="4D98225B" w14:textId="77777777" w:rsidR="008112D9" w:rsidRDefault="008112D9" w:rsidP="00E33B95">
      <w:pPr>
        <w:jc w:val="both"/>
        <w:rPr>
          <w:rFonts w:eastAsiaTheme="minorEastAsia"/>
        </w:rPr>
      </w:pPr>
      <w:r>
        <w:rPr>
          <w:rFonts w:eastAsiaTheme="minorEastAsia"/>
        </w:rPr>
        <w:t xml:space="preserve">The participant information sheet could perhaps cover the following: </w:t>
      </w:r>
    </w:p>
    <w:p w14:paraId="606ADCAA" w14:textId="77777777" w:rsidR="008112D9" w:rsidRPr="007D0397" w:rsidRDefault="008112D9" w:rsidP="007D0397">
      <w:pPr>
        <w:pStyle w:val="ListParagraph"/>
        <w:numPr>
          <w:ilvl w:val="0"/>
          <w:numId w:val="9"/>
        </w:numPr>
        <w:jc w:val="both"/>
        <w:rPr>
          <w:rFonts w:eastAsiaTheme="minorEastAsia"/>
        </w:rPr>
      </w:pPr>
      <w:r w:rsidRPr="007D0397">
        <w:rPr>
          <w:rFonts w:eastAsiaTheme="minorEastAsia"/>
        </w:rPr>
        <w:t>The aim of the project</w:t>
      </w:r>
    </w:p>
    <w:p w14:paraId="7EA05D44" w14:textId="77777777" w:rsidR="008112D9" w:rsidRPr="007D0397" w:rsidRDefault="008112D9" w:rsidP="007D0397">
      <w:pPr>
        <w:pStyle w:val="ListParagraph"/>
        <w:numPr>
          <w:ilvl w:val="0"/>
          <w:numId w:val="9"/>
        </w:numPr>
        <w:jc w:val="both"/>
        <w:rPr>
          <w:rFonts w:eastAsiaTheme="minorEastAsia"/>
        </w:rPr>
      </w:pPr>
      <w:r w:rsidRPr="007D0397">
        <w:rPr>
          <w:rFonts w:eastAsiaTheme="minorEastAsia"/>
        </w:rPr>
        <w:lastRenderedPageBreak/>
        <w:t>The aim of the consultation</w:t>
      </w:r>
    </w:p>
    <w:p w14:paraId="6926EF0A" w14:textId="77777777" w:rsidR="007D0397" w:rsidRPr="007D0397" w:rsidRDefault="007D0397" w:rsidP="007D0397">
      <w:pPr>
        <w:pStyle w:val="ListParagraph"/>
        <w:numPr>
          <w:ilvl w:val="0"/>
          <w:numId w:val="9"/>
        </w:numPr>
        <w:jc w:val="both"/>
        <w:rPr>
          <w:rFonts w:eastAsiaTheme="minorEastAsia"/>
        </w:rPr>
      </w:pPr>
      <w:r w:rsidRPr="007D0397">
        <w:rPr>
          <w:rFonts w:eastAsiaTheme="minorEastAsia"/>
        </w:rPr>
        <w:t>Who is in charge of the project and introduction of the group moderators</w:t>
      </w:r>
    </w:p>
    <w:p w14:paraId="15AD3DDC" w14:textId="77777777" w:rsidR="008112D9" w:rsidRPr="007D0397" w:rsidRDefault="008112D9" w:rsidP="007D0397">
      <w:pPr>
        <w:pStyle w:val="ListParagraph"/>
        <w:numPr>
          <w:ilvl w:val="0"/>
          <w:numId w:val="9"/>
        </w:numPr>
        <w:jc w:val="both"/>
        <w:rPr>
          <w:rFonts w:eastAsiaTheme="minorEastAsia"/>
        </w:rPr>
      </w:pPr>
      <w:r w:rsidRPr="007D0397">
        <w:rPr>
          <w:rFonts w:eastAsiaTheme="minorEastAsia"/>
        </w:rPr>
        <w:t>The fact that it is voluntary and that people can leave at any time without having to explain why</w:t>
      </w:r>
    </w:p>
    <w:p w14:paraId="322AD1A0" w14:textId="77777777" w:rsidR="008112D9" w:rsidRPr="007D0397" w:rsidRDefault="008112D9" w:rsidP="007D0397">
      <w:pPr>
        <w:pStyle w:val="ListParagraph"/>
        <w:numPr>
          <w:ilvl w:val="0"/>
          <w:numId w:val="9"/>
        </w:numPr>
        <w:jc w:val="both"/>
        <w:rPr>
          <w:rFonts w:eastAsiaTheme="minorEastAsia"/>
        </w:rPr>
      </w:pPr>
      <w:r w:rsidRPr="007D0397">
        <w:rPr>
          <w:rFonts w:eastAsiaTheme="minorEastAsia"/>
        </w:rPr>
        <w:t xml:space="preserve">Issues surrounding the use of the data that will be collected </w:t>
      </w:r>
    </w:p>
    <w:p w14:paraId="2FB8C383" w14:textId="77777777" w:rsidR="00F612F3" w:rsidRPr="006613D7" w:rsidRDefault="007D0397" w:rsidP="002727BC">
      <w:pPr>
        <w:pStyle w:val="ListParagraph"/>
        <w:numPr>
          <w:ilvl w:val="0"/>
          <w:numId w:val="9"/>
        </w:numPr>
        <w:jc w:val="both"/>
        <w:rPr>
          <w:rFonts w:eastAsiaTheme="minorEastAsia"/>
        </w:rPr>
      </w:pPr>
      <w:r w:rsidRPr="006613D7">
        <w:rPr>
          <w:rFonts w:eastAsiaTheme="minorEastAsia"/>
        </w:rPr>
        <w:t>Ground rules</w:t>
      </w:r>
      <w:r w:rsidR="006613D7" w:rsidRPr="006613D7">
        <w:rPr>
          <w:rFonts w:eastAsiaTheme="minorEastAsia"/>
        </w:rPr>
        <w:t xml:space="preserve"> and e</w:t>
      </w:r>
      <w:r w:rsidR="00F612F3" w:rsidRPr="006613D7">
        <w:rPr>
          <w:rFonts w:eastAsiaTheme="minorEastAsia"/>
        </w:rPr>
        <w:t>xpression of gratitude to the participants</w:t>
      </w:r>
    </w:p>
    <w:p w14:paraId="5E315101" w14:textId="77777777" w:rsidR="00985031" w:rsidRPr="00985031" w:rsidRDefault="00247E52" w:rsidP="00210CBA">
      <w:pPr>
        <w:pStyle w:val="Heading3"/>
        <w:rPr>
          <w:rFonts w:eastAsiaTheme="minorEastAsia"/>
        </w:rPr>
      </w:pPr>
      <w:r>
        <w:rPr>
          <w:rFonts w:eastAsiaTheme="minorEastAsia"/>
        </w:rPr>
        <w:t xml:space="preserve">Capacity and consent </w:t>
      </w:r>
    </w:p>
    <w:p w14:paraId="24FD7A18" w14:textId="77777777" w:rsidR="00C87FC6" w:rsidRDefault="007C1423" w:rsidP="00247E52">
      <w:pPr>
        <w:jc w:val="both"/>
        <w:rPr>
          <w:rFonts w:eastAsiaTheme="minorEastAsia"/>
        </w:rPr>
      </w:pPr>
      <w:r>
        <w:rPr>
          <w:rFonts w:eastAsiaTheme="minorEastAsia"/>
        </w:rPr>
        <w:t>C</w:t>
      </w:r>
      <w:r w:rsidR="00953264">
        <w:rPr>
          <w:rFonts w:eastAsiaTheme="minorEastAsia"/>
        </w:rPr>
        <w:t xml:space="preserve">apacity is task specific in that it relates to </w:t>
      </w:r>
      <w:r>
        <w:rPr>
          <w:rFonts w:eastAsiaTheme="minorEastAsia"/>
        </w:rPr>
        <w:t xml:space="preserve">the ability to perform a </w:t>
      </w:r>
      <w:proofErr w:type="gramStart"/>
      <w:r>
        <w:rPr>
          <w:rFonts w:eastAsiaTheme="minorEastAsia"/>
        </w:rPr>
        <w:t>particular task</w:t>
      </w:r>
      <w:proofErr w:type="gramEnd"/>
      <w:r>
        <w:rPr>
          <w:rFonts w:eastAsiaTheme="minorEastAsia"/>
        </w:rPr>
        <w:t>, at a particular moment in time and under specified conditions (Buchanan and Brock, 1990). The capacity for a particular task may, with people with dementia, sometimes fluctuate, not only because of the dementia but also owing to a range of factors (e.g. psychosocial, situational, medical, etc.)</w:t>
      </w:r>
      <w:r w:rsidR="00271321">
        <w:rPr>
          <w:rFonts w:eastAsiaTheme="minorEastAsia"/>
        </w:rPr>
        <w:t xml:space="preserve"> (Holzer et al., 1997)</w:t>
      </w:r>
      <w:r>
        <w:rPr>
          <w:rFonts w:eastAsiaTheme="minorEastAsia"/>
        </w:rPr>
        <w:t xml:space="preserve">. However, a person either has or does not have the capacity to consent to a particular consultation at a particular time. </w:t>
      </w:r>
    </w:p>
    <w:p w14:paraId="2B419F52" w14:textId="77777777" w:rsidR="00247E52" w:rsidRDefault="00247E52" w:rsidP="00247E52">
      <w:pPr>
        <w:jc w:val="both"/>
        <w:rPr>
          <w:rFonts w:eastAsiaTheme="minorEastAsia"/>
        </w:rPr>
      </w:pPr>
      <w:r>
        <w:rPr>
          <w:rFonts w:eastAsiaTheme="minorEastAsia"/>
        </w:rPr>
        <w:t xml:space="preserve">If people turn up to the focus group discussion, having read and understood the participant information sheet and having been given the opportunity to clarify any questions about the consultation, this could be taken as implicit consent. Such consent </w:t>
      </w:r>
      <w:r w:rsidR="005D5FF2">
        <w:rPr>
          <w:rFonts w:eastAsiaTheme="minorEastAsia"/>
        </w:rPr>
        <w:t>c</w:t>
      </w:r>
      <w:r>
        <w:rPr>
          <w:rFonts w:eastAsiaTheme="minorEastAsia"/>
        </w:rPr>
        <w:t xml:space="preserve">ould be complemented by explicit consent at the start of the consultation when the focus group moderator runs through the information about the consultation, explains the “house rules” and asks whether everyone agrees to the </w:t>
      </w:r>
      <w:r w:rsidR="00955E5C">
        <w:rPr>
          <w:rFonts w:eastAsiaTheme="minorEastAsia"/>
        </w:rPr>
        <w:t xml:space="preserve">recording and </w:t>
      </w:r>
      <w:r>
        <w:rPr>
          <w:rFonts w:eastAsiaTheme="minorEastAsia"/>
        </w:rPr>
        <w:t xml:space="preserve">use of their data. </w:t>
      </w:r>
      <w:r w:rsidR="0016126E">
        <w:rPr>
          <w:rFonts w:eastAsiaTheme="minorEastAsia"/>
        </w:rPr>
        <w:t>O</w:t>
      </w:r>
      <w:r w:rsidR="005D5FF2" w:rsidRPr="005D5FF2">
        <w:rPr>
          <w:rFonts w:eastAsiaTheme="minorEastAsia"/>
        </w:rPr>
        <w:t xml:space="preserve">ral consent is </w:t>
      </w:r>
      <w:r w:rsidR="0016126E">
        <w:rPr>
          <w:rFonts w:eastAsiaTheme="minorEastAsia"/>
        </w:rPr>
        <w:t>often considered</w:t>
      </w:r>
      <w:r w:rsidR="005D5FF2" w:rsidRPr="005D5FF2">
        <w:rPr>
          <w:rFonts w:eastAsiaTheme="minorEastAsia"/>
        </w:rPr>
        <w:t xml:space="preserve"> acceptable for research with minimal risk or where a loss of confidentiality is the primary risk </w:t>
      </w:r>
      <w:r w:rsidR="0016126E">
        <w:rPr>
          <w:rFonts w:eastAsiaTheme="minorEastAsia"/>
        </w:rPr>
        <w:t xml:space="preserve">(Mack et al., 2005). Sometimes, </w:t>
      </w:r>
      <w:r w:rsidR="005D5FF2" w:rsidRPr="005D5FF2">
        <w:rPr>
          <w:rFonts w:eastAsiaTheme="minorEastAsia"/>
        </w:rPr>
        <w:t xml:space="preserve">a </w:t>
      </w:r>
      <w:r w:rsidR="0016126E">
        <w:rPr>
          <w:rFonts w:eastAsiaTheme="minorEastAsia"/>
        </w:rPr>
        <w:t xml:space="preserve">written, </w:t>
      </w:r>
      <w:r w:rsidR="005D5FF2" w:rsidRPr="005D5FF2">
        <w:rPr>
          <w:rFonts w:eastAsiaTheme="minorEastAsia"/>
        </w:rPr>
        <w:t xml:space="preserve">signed consent form </w:t>
      </w:r>
      <w:r w:rsidR="0016126E">
        <w:rPr>
          <w:rFonts w:eastAsiaTheme="minorEastAsia"/>
        </w:rPr>
        <w:t>is</w:t>
      </w:r>
      <w:r w:rsidR="005D5FF2" w:rsidRPr="005D5FF2">
        <w:rPr>
          <w:rFonts w:eastAsiaTheme="minorEastAsia"/>
        </w:rPr>
        <w:t xml:space="preserve"> the </w:t>
      </w:r>
      <w:r w:rsidR="0016126E">
        <w:rPr>
          <w:rFonts w:eastAsiaTheme="minorEastAsia"/>
        </w:rPr>
        <w:t>actual threat to the confidentiality of data</w:t>
      </w:r>
      <w:r w:rsidR="005D5FF2" w:rsidRPr="005D5FF2">
        <w:rPr>
          <w:rFonts w:eastAsiaTheme="minorEastAsia"/>
        </w:rPr>
        <w:t xml:space="preserve"> </w:t>
      </w:r>
      <w:r w:rsidR="0016126E">
        <w:rPr>
          <w:rFonts w:eastAsiaTheme="minorEastAsia"/>
        </w:rPr>
        <w:t>(Dubois (2008).</w:t>
      </w:r>
    </w:p>
    <w:p w14:paraId="0F89D3E6" w14:textId="77777777" w:rsidR="00247E52" w:rsidRPr="00247E52" w:rsidRDefault="00247E52" w:rsidP="00247E52">
      <w:pPr>
        <w:jc w:val="both"/>
        <w:rPr>
          <w:rFonts w:eastAsiaTheme="minorEastAsia"/>
        </w:rPr>
      </w:pPr>
      <w:r>
        <w:rPr>
          <w:rFonts w:eastAsiaTheme="minorEastAsia"/>
        </w:rPr>
        <w:t xml:space="preserve">A problem may arise if the moderator </w:t>
      </w:r>
      <w:r w:rsidR="00FF253F">
        <w:rPr>
          <w:rFonts w:eastAsiaTheme="minorEastAsia"/>
        </w:rPr>
        <w:t>suspects</w:t>
      </w:r>
      <w:r>
        <w:rPr>
          <w:rFonts w:eastAsiaTheme="minorEastAsia"/>
        </w:rPr>
        <w:t xml:space="preserve"> that a person who has agreed to participate does not fully understand the purpose of the consultation, does not fully understand that the data (although anonymised) will be used </w:t>
      </w:r>
      <w:r w:rsidR="00CA4B23">
        <w:rPr>
          <w:rFonts w:eastAsiaTheme="minorEastAsia"/>
        </w:rPr>
        <w:t xml:space="preserve">for the purpose of </w:t>
      </w:r>
      <w:r>
        <w:rPr>
          <w:rFonts w:eastAsiaTheme="minorEastAsia"/>
        </w:rPr>
        <w:t>the study and/or that the discussion is being recorded. On the other hand, it should not be assumed that</w:t>
      </w:r>
      <w:r w:rsidR="00FF253F">
        <w:rPr>
          <w:rFonts w:eastAsiaTheme="minorEastAsia"/>
        </w:rPr>
        <w:t xml:space="preserve"> a diagnosis of dementia or</w:t>
      </w:r>
      <w:r>
        <w:rPr>
          <w:rFonts w:eastAsiaTheme="minorEastAsia"/>
        </w:rPr>
        <w:t xml:space="preserve"> difficulty communicating without the assistance of </w:t>
      </w:r>
      <w:r w:rsidR="00CA4B23">
        <w:rPr>
          <w:rFonts w:eastAsiaTheme="minorEastAsia"/>
        </w:rPr>
        <w:t xml:space="preserve">a </w:t>
      </w:r>
      <w:r>
        <w:rPr>
          <w:rFonts w:eastAsiaTheme="minorEastAsia"/>
        </w:rPr>
        <w:t xml:space="preserve">carer means that a person lacks such understanding. </w:t>
      </w:r>
      <w:r w:rsidR="00FF253F">
        <w:rPr>
          <w:rFonts w:eastAsiaTheme="minorEastAsia"/>
        </w:rPr>
        <w:t>It</w:t>
      </w:r>
      <w:r w:rsidR="00C87FC6" w:rsidRPr="00247E52">
        <w:rPr>
          <w:rFonts w:eastAsiaTheme="minorEastAsia"/>
        </w:rPr>
        <w:t xml:space="preserve"> may </w:t>
      </w:r>
      <w:r w:rsidR="00FF253F">
        <w:rPr>
          <w:rFonts w:eastAsiaTheme="minorEastAsia"/>
        </w:rPr>
        <w:t xml:space="preserve">nevertheless </w:t>
      </w:r>
      <w:r w:rsidR="00C87FC6" w:rsidRPr="00247E52">
        <w:rPr>
          <w:rFonts w:eastAsiaTheme="minorEastAsia"/>
        </w:rPr>
        <w:t xml:space="preserve">be a justifiable reason to check whether </w:t>
      </w:r>
      <w:r w:rsidR="00FF253F">
        <w:rPr>
          <w:rFonts w:eastAsiaTheme="minorEastAsia"/>
        </w:rPr>
        <w:t>the person does have the capacity to decide whether to participate</w:t>
      </w:r>
      <w:r w:rsidR="00C87FC6">
        <w:rPr>
          <w:rFonts w:eastAsiaTheme="minorEastAsia"/>
        </w:rPr>
        <w:t xml:space="preserve">. This raises a few questions, namely: </w:t>
      </w:r>
      <w:r w:rsidR="00C87FC6" w:rsidRPr="00C87FC6">
        <w:rPr>
          <w:rFonts w:eastAsiaTheme="minorEastAsia"/>
        </w:rPr>
        <w:t xml:space="preserve"> </w:t>
      </w:r>
      <w:r w:rsidR="00C87FC6">
        <w:rPr>
          <w:rFonts w:eastAsiaTheme="minorEastAsia"/>
        </w:rPr>
        <w:t>Will moderators rely on information from the participant that they have dementia</w:t>
      </w:r>
      <w:r w:rsidR="00FF253F">
        <w:rPr>
          <w:rFonts w:eastAsiaTheme="minorEastAsia"/>
        </w:rPr>
        <w:t xml:space="preserve"> (i.e. if having dementia is an inclusion criterion)</w:t>
      </w:r>
      <w:r w:rsidR="00C87FC6">
        <w:rPr>
          <w:rFonts w:eastAsiaTheme="minorEastAsia"/>
        </w:rPr>
        <w:t xml:space="preserve">? Should a person with dementia be included if s/he seems to lack a full understanding of what is involved (e.g. s/he may lack the capacity to consent, not understand that </w:t>
      </w:r>
      <w:r w:rsidR="00D43A8A">
        <w:rPr>
          <w:rFonts w:eastAsiaTheme="minorEastAsia"/>
        </w:rPr>
        <w:t>participation</w:t>
      </w:r>
      <w:r w:rsidR="00C87FC6">
        <w:rPr>
          <w:rFonts w:eastAsiaTheme="minorEastAsia"/>
        </w:rPr>
        <w:t xml:space="preserve"> is </w:t>
      </w:r>
      <w:r w:rsidR="00D43A8A">
        <w:rPr>
          <w:rFonts w:eastAsiaTheme="minorEastAsia"/>
        </w:rPr>
        <w:t>voluntary</w:t>
      </w:r>
      <w:r w:rsidR="00C87FC6">
        <w:rPr>
          <w:rFonts w:eastAsiaTheme="minorEastAsia"/>
        </w:rPr>
        <w:t>, not understand how the information will be used etc.)? Are moderators qualified to assess capacity?</w:t>
      </w:r>
    </w:p>
    <w:p w14:paraId="3592E07E" w14:textId="77777777" w:rsidR="00006D41" w:rsidRPr="00566B55" w:rsidRDefault="00566B55" w:rsidP="00566B55">
      <w:pPr>
        <w:rPr>
          <w:rFonts w:eastAsiaTheme="minorEastAsia"/>
          <w:i/>
        </w:rPr>
      </w:pPr>
      <w:r w:rsidRPr="00566B55">
        <w:rPr>
          <w:rFonts w:eastAsiaTheme="minorEastAsia"/>
          <w:i/>
        </w:rPr>
        <w:t>Action points:</w:t>
      </w:r>
    </w:p>
    <w:p w14:paraId="5EBB159E" w14:textId="3C851EAE" w:rsidR="00A66710" w:rsidRDefault="00A66710" w:rsidP="00006D41">
      <w:pPr>
        <w:pStyle w:val="ListParagraph"/>
        <w:numPr>
          <w:ilvl w:val="0"/>
          <w:numId w:val="7"/>
        </w:numPr>
        <w:rPr>
          <w:rFonts w:eastAsiaTheme="minorEastAsia"/>
        </w:rPr>
      </w:pPr>
      <w:r>
        <w:rPr>
          <w:rFonts w:eastAsiaTheme="minorEastAsia"/>
        </w:rPr>
        <w:t xml:space="preserve">Agree within </w:t>
      </w:r>
      <w:r w:rsidR="00210CBA">
        <w:rPr>
          <w:rFonts w:eastAsiaTheme="minorEastAsia"/>
        </w:rPr>
        <w:t xml:space="preserve">the team </w:t>
      </w:r>
      <w:r>
        <w:rPr>
          <w:rFonts w:eastAsiaTheme="minorEastAsia"/>
        </w:rPr>
        <w:t xml:space="preserve">whether this is a consultation and whether ethical approval and/or </w:t>
      </w:r>
      <w:r w:rsidRPr="00D43A8A">
        <w:rPr>
          <w:rFonts w:eastAsiaTheme="minorEastAsia"/>
          <w:u w:val="single"/>
        </w:rPr>
        <w:t>formal</w:t>
      </w:r>
      <w:r>
        <w:rPr>
          <w:rFonts w:eastAsiaTheme="minorEastAsia"/>
        </w:rPr>
        <w:t xml:space="preserve"> consent is required.</w:t>
      </w:r>
    </w:p>
    <w:p w14:paraId="4A39320E" w14:textId="77777777" w:rsidR="00A66710" w:rsidRDefault="00A66710" w:rsidP="00006D41">
      <w:pPr>
        <w:pStyle w:val="ListParagraph"/>
        <w:numPr>
          <w:ilvl w:val="0"/>
          <w:numId w:val="7"/>
        </w:numPr>
        <w:rPr>
          <w:rFonts w:eastAsiaTheme="minorEastAsia"/>
        </w:rPr>
      </w:pPr>
      <w:r>
        <w:rPr>
          <w:rFonts w:eastAsiaTheme="minorEastAsia"/>
        </w:rPr>
        <w:t xml:space="preserve">If the answers to the above are “yes” and “no” respectively, </w:t>
      </w:r>
      <w:r w:rsidR="00CA4B23">
        <w:rPr>
          <w:rFonts w:eastAsiaTheme="minorEastAsia"/>
        </w:rPr>
        <w:t>but the group agrees that informed consent should nevertheless be sought….</w:t>
      </w:r>
    </w:p>
    <w:p w14:paraId="0F420CE5" w14:textId="77777777" w:rsidR="00006D41" w:rsidRDefault="00CA4B23" w:rsidP="00341694">
      <w:pPr>
        <w:pStyle w:val="ListParagraph"/>
        <w:numPr>
          <w:ilvl w:val="1"/>
          <w:numId w:val="7"/>
        </w:numPr>
        <w:jc w:val="both"/>
        <w:rPr>
          <w:rFonts w:eastAsiaTheme="minorEastAsia"/>
        </w:rPr>
      </w:pPr>
      <w:r>
        <w:rPr>
          <w:rFonts w:eastAsiaTheme="minorEastAsia"/>
        </w:rPr>
        <w:t>d</w:t>
      </w:r>
      <w:r w:rsidR="00006D41">
        <w:rPr>
          <w:rFonts w:eastAsiaTheme="minorEastAsia"/>
        </w:rPr>
        <w:t xml:space="preserve">raw </w:t>
      </w:r>
      <w:r w:rsidR="00FF253F">
        <w:rPr>
          <w:rFonts w:eastAsiaTheme="minorEastAsia"/>
        </w:rPr>
        <w:t xml:space="preserve">up a </w:t>
      </w:r>
      <w:r w:rsidR="00006D41">
        <w:rPr>
          <w:rFonts w:eastAsiaTheme="minorEastAsia"/>
        </w:rPr>
        <w:t>common participant information sheet</w:t>
      </w:r>
    </w:p>
    <w:p w14:paraId="73F55D71" w14:textId="77777777" w:rsidR="00006D41" w:rsidRDefault="00CA4B23" w:rsidP="00341694">
      <w:pPr>
        <w:pStyle w:val="ListParagraph"/>
        <w:numPr>
          <w:ilvl w:val="1"/>
          <w:numId w:val="7"/>
        </w:numPr>
        <w:jc w:val="both"/>
        <w:rPr>
          <w:rFonts w:eastAsiaTheme="minorEastAsia"/>
        </w:rPr>
      </w:pPr>
      <w:r>
        <w:rPr>
          <w:rFonts w:eastAsiaTheme="minorEastAsia"/>
        </w:rPr>
        <w:t>a</w:t>
      </w:r>
      <w:r w:rsidR="00006D41">
        <w:rPr>
          <w:rFonts w:eastAsiaTheme="minorEastAsia"/>
        </w:rPr>
        <w:t>dapt t</w:t>
      </w:r>
      <w:r w:rsidR="00247E52">
        <w:rPr>
          <w:rFonts w:eastAsiaTheme="minorEastAsia"/>
        </w:rPr>
        <w:t>his to</w:t>
      </w:r>
      <w:r w:rsidR="00006D41">
        <w:rPr>
          <w:rFonts w:eastAsiaTheme="minorEastAsia"/>
        </w:rPr>
        <w:t xml:space="preserve"> the cultural context of the country in which the consultation is being carried out</w:t>
      </w:r>
    </w:p>
    <w:p w14:paraId="270EB75B" w14:textId="77777777" w:rsidR="00247E52" w:rsidRDefault="00CA4B23" w:rsidP="00341694">
      <w:pPr>
        <w:pStyle w:val="ListParagraph"/>
        <w:numPr>
          <w:ilvl w:val="1"/>
          <w:numId w:val="7"/>
        </w:numPr>
        <w:jc w:val="both"/>
        <w:rPr>
          <w:rFonts w:eastAsiaTheme="minorEastAsia"/>
        </w:rPr>
      </w:pPr>
      <w:r>
        <w:rPr>
          <w:rFonts w:eastAsiaTheme="minorEastAsia"/>
        </w:rPr>
        <w:t>c</w:t>
      </w:r>
      <w:r w:rsidR="00247E52">
        <w:rPr>
          <w:rFonts w:eastAsiaTheme="minorEastAsia"/>
        </w:rPr>
        <w:t>heck at the start of the session that everyone consents to the consultation (participation, use of data and recording).</w:t>
      </w:r>
    </w:p>
    <w:p w14:paraId="7A9CE8E9" w14:textId="77777777" w:rsidR="00D43A8A" w:rsidRDefault="00D43A8A" w:rsidP="00341694">
      <w:pPr>
        <w:pStyle w:val="ListParagraph"/>
        <w:numPr>
          <w:ilvl w:val="1"/>
          <w:numId w:val="7"/>
        </w:numPr>
        <w:jc w:val="both"/>
        <w:rPr>
          <w:rFonts w:eastAsiaTheme="minorEastAsia"/>
        </w:rPr>
      </w:pPr>
      <w:r>
        <w:rPr>
          <w:rFonts w:eastAsiaTheme="minorEastAsia"/>
        </w:rPr>
        <w:t>decide within the group what to in the case of a person possibly lacking capacity to participate turning up for the consultation.</w:t>
      </w:r>
    </w:p>
    <w:p w14:paraId="70A01E17" w14:textId="77777777" w:rsidR="00991947" w:rsidRDefault="00991947" w:rsidP="00991947">
      <w:pPr>
        <w:pStyle w:val="ListParagraph"/>
        <w:numPr>
          <w:ilvl w:val="1"/>
          <w:numId w:val="7"/>
        </w:numPr>
        <w:jc w:val="both"/>
        <w:rPr>
          <w:rFonts w:eastAsiaTheme="minorEastAsia"/>
        </w:rPr>
      </w:pPr>
      <w:r>
        <w:rPr>
          <w:rFonts w:eastAsiaTheme="minorEastAsia"/>
        </w:rPr>
        <w:lastRenderedPageBreak/>
        <w:t>r</w:t>
      </w:r>
      <w:r w:rsidR="00E636FE">
        <w:rPr>
          <w:rFonts w:eastAsiaTheme="minorEastAsia"/>
        </w:rPr>
        <w:t>emind participants that they are free to leave at any time without having to justify their decision.</w:t>
      </w:r>
      <w:r w:rsidRPr="00991947">
        <w:rPr>
          <w:rFonts w:eastAsiaTheme="minorEastAsia"/>
        </w:rPr>
        <w:t xml:space="preserve"> </w:t>
      </w:r>
    </w:p>
    <w:p w14:paraId="49AF447A" w14:textId="77777777" w:rsidR="00991947" w:rsidRDefault="00C14424" w:rsidP="00991947">
      <w:pPr>
        <w:pStyle w:val="ListParagraph"/>
        <w:numPr>
          <w:ilvl w:val="1"/>
          <w:numId w:val="7"/>
        </w:numPr>
        <w:jc w:val="both"/>
        <w:rPr>
          <w:rFonts w:eastAsiaTheme="minorEastAsia"/>
        </w:rPr>
      </w:pPr>
      <w:r>
        <w:rPr>
          <w:rFonts w:eastAsiaTheme="minorEastAsia"/>
        </w:rPr>
        <w:t>m</w:t>
      </w:r>
      <w:r w:rsidR="00991947">
        <w:rPr>
          <w:rFonts w:eastAsiaTheme="minorEastAsia"/>
        </w:rPr>
        <w:t>ake it clear that participants do not have to answer any questions they would prefer not to.</w:t>
      </w:r>
    </w:p>
    <w:p w14:paraId="63E2DA5A" w14:textId="77777777" w:rsidR="00991947" w:rsidRDefault="00991947">
      <w:pPr>
        <w:rPr>
          <w:rFonts w:eastAsiaTheme="minorEastAsia"/>
          <w:b/>
        </w:rPr>
      </w:pPr>
    </w:p>
    <w:p w14:paraId="10DFAD54" w14:textId="77777777" w:rsidR="00991947" w:rsidRDefault="00991947">
      <w:pPr>
        <w:rPr>
          <w:rFonts w:eastAsiaTheme="minorEastAsia"/>
          <w:b/>
        </w:rPr>
      </w:pPr>
    </w:p>
    <w:p w14:paraId="700921F1" w14:textId="77777777" w:rsidR="00FA517F" w:rsidRPr="00985031" w:rsidRDefault="00FA517F">
      <w:pPr>
        <w:rPr>
          <w:rFonts w:eastAsiaTheme="minorEastAsia"/>
          <w:b/>
        </w:rPr>
      </w:pPr>
      <w:r w:rsidRPr="00985031">
        <w:rPr>
          <w:rFonts w:eastAsiaTheme="minorEastAsia"/>
          <w:b/>
        </w:rPr>
        <w:t>Confidentiality</w:t>
      </w:r>
      <w:r w:rsidR="00C84160">
        <w:rPr>
          <w:rFonts w:eastAsiaTheme="minorEastAsia"/>
          <w:b/>
        </w:rPr>
        <w:t xml:space="preserve"> and</w:t>
      </w:r>
      <w:r w:rsidR="00547884" w:rsidRPr="00985031">
        <w:rPr>
          <w:rFonts w:eastAsiaTheme="minorEastAsia"/>
          <w:b/>
        </w:rPr>
        <w:t xml:space="preserve"> privacy </w:t>
      </w:r>
    </w:p>
    <w:p w14:paraId="2967FDC2" w14:textId="77777777" w:rsidR="000A1369" w:rsidRDefault="00FF253F" w:rsidP="000A1369">
      <w:pPr>
        <w:jc w:val="both"/>
        <w:rPr>
          <w:rFonts w:eastAsiaTheme="minorEastAsia"/>
        </w:rPr>
      </w:pPr>
      <w:r>
        <w:rPr>
          <w:rFonts w:eastAsiaTheme="minorEastAsia"/>
        </w:rPr>
        <w:t xml:space="preserve">Confidentiality refers to “the interest people have in controlling access to information or data about them” whereas privacy refers to “the interest people have in restricting the access of others to themselves” (DuBois, 2008, p. 154). </w:t>
      </w:r>
      <w:r w:rsidR="00BB46C5">
        <w:rPr>
          <w:rFonts w:eastAsiaTheme="minorEastAsia"/>
        </w:rPr>
        <w:t>One of the aims of a focus group is to promote self-disclosure and this is more likely when the participants feel respected</w:t>
      </w:r>
      <w:r w:rsidR="001C0142">
        <w:rPr>
          <w:rFonts w:eastAsiaTheme="minorEastAsia"/>
        </w:rPr>
        <w:t xml:space="preserve"> and</w:t>
      </w:r>
      <w:r w:rsidR="00BB46C5">
        <w:rPr>
          <w:rFonts w:eastAsiaTheme="minorEastAsia"/>
        </w:rPr>
        <w:t xml:space="preserve"> fr</w:t>
      </w:r>
      <w:r w:rsidR="001C0142">
        <w:rPr>
          <w:rFonts w:eastAsiaTheme="minorEastAsia"/>
        </w:rPr>
        <w:t xml:space="preserve">ee to give their opinions without being judged (Krueger and Casey, 2009). </w:t>
      </w:r>
      <w:r w:rsidR="00F1584E">
        <w:rPr>
          <w:rFonts w:eastAsiaTheme="minorEastAsia"/>
        </w:rPr>
        <w:t xml:space="preserve">This involves sharing information with the moderator as well as with other members of the group. </w:t>
      </w:r>
      <w:r w:rsidR="000A1369">
        <w:rPr>
          <w:rFonts w:eastAsiaTheme="minorEastAsia"/>
        </w:rPr>
        <w:t xml:space="preserve">Participants, researchers involved and those in the wider research group should all respect the principle of confidentiality and take measures to protect the privacy of participants. </w:t>
      </w:r>
    </w:p>
    <w:p w14:paraId="157EC1D6" w14:textId="77777777" w:rsidR="001C0142" w:rsidRDefault="001C0142" w:rsidP="001C0142">
      <w:pPr>
        <w:jc w:val="both"/>
        <w:rPr>
          <w:rFonts w:eastAsiaTheme="minorEastAsia"/>
        </w:rPr>
      </w:pPr>
      <w:r>
        <w:rPr>
          <w:rFonts w:eastAsiaTheme="minorEastAsia"/>
        </w:rPr>
        <w:t xml:space="preserve">Participants should all be encouraged to contribute to the discussion and the moderator should try to involve those who are less vocal, whilst ensuring that the more vocal participants do not dominate the discussion at the expense of the former. </w:t>
      </w:r>
      <w:r w:rsidR="00F1584E">
        <w:rPr>
          <w:rFonts w:eastAsiaTheme="minorEastAsia"/>
        </w:rPr>
        <w:t xml:space="preserve">The moderator should also ensure that both the line of questioning and the course that the discussion takes is kept well within proper boundaries. </w:t>
      </w:r>
      <w:r>
        <w:rPr>
          <w:rFonts w:eastAsiaTheme="minorEastAsia"/>
        </w:rPr>
        <w:t xml:space="preserve">At the same time, sensitivity is needed from the moderator to ensure that people do not feel obliged to divulge personal information about their lives or condition which they would prefer not to share. Small focus groups often take the form of a fairly intimate and open discussion which may sometimes lead to over-disclosure whereby participants go beyond their usual boundaries and disclose information which they later regret having shared (Kvale and Brinkmann, 2009). </w:t>
      </w:r>
    </w:p>
    <w:p w14:paraId="3ADEF7B9" w14:textId="77777777" w:rsidR="00566B55" w:rsidRPr="00566B55" w:rsidRDefault="00566B55" w:rsidP="00341694">
      <w:pPr>
        <w:jc w:val="both"/>
        <w:rPr>
          <w:rFonts w:eastAsiaTheme="minorEastAsia"/>
          <w:i/>
        </w:rPr>
      </w:pPr>
      <w:r w:rsidRPr="00566B55">
        <w:rPr>
          <w:rFonts w:eastAsiaTheme="minorEastAsia"/>
          <w:i/>
        </w:rPr>
        <w:t>Action points:</w:t>
      </w:r>
    </w:p>
    <w:p w14:paraId="16D24AE7" w14:textId="77777777" w:rsidR="000A1369" w:rsidRDefault="00006D41" w:rsidP="00341694">
      <w:pPr>
        <w:pStyle w:val="ListParagraph"/>
        <w:numPr>
          <w:ilvl w:val="0"/>
          <w:numId w:val="7"/>
        </w:numPr>
        <w:jc w:val="both"/>
        <w:rPr>
          <w:rFonts w:eastAsiaTheme="minorEastAsia"/>
        </w:rPr>
      </w:pPr>
      <w:r>
        <w:rPr>
          <w:rFonts w:eastAsiaTheme="minorEastAsia"/>
        </w:rPr>
        <w:t xml:space="preserve">Explain in the participant information sheet </w:t>
      </w:r>
      <w:r w:rsidR="003C671B">
        <w:rPr>
          <w:rFonts w:eastAsiaTheme="minorEastAsia"/>
        </w:rPr>
        <w:t>and on the day that the consultation is a group activity and that consequently, information will be shared within the group and not only with the moderator, concluding with the request that everyone treat what they see and hear with utmost confidentiality</w:t>
      </w:r>
      <w:r w:rsidR="000A1369">
        <w:rPr>
          <w:rFonts w:eastAsiaTheme="minorEastAsia"/>
        </w:rPr>
        <w:t>.</w:t>
      </w:r>
    </w:p>
    <w:p w14:paraId="1C903977" w14:textId="77777777" w:rsidR="000A1369" w:rsidRPr="00006D41" w:rsidRDefault="000A1369" w:rsidP="00341694">
      <w:pPr>
        <w:pStyle w:val="ListParagraph"/>
        <w:numPr>
          <w:ilvl w:val="0"/>
          <w:numId w:val="7"/>
        </w:numPr>
        <w:jc w:val="both"/>
        <w:rPr>
          <w:rFonts w:eastAsiaTheme="minorEastAsia"/>
        </w:rPr>
      </w:pPr>
      <w:r>
        <w:rPr>
          <w:rFonts w:eastAsiaTheme="minorEastAsia"/>
        </w:rPr>
        <w:t xml:space="preserve">Take necessary measures to ensure that the data is treated with confidentiality (i.e. that </w:t>
      </w:r>
      <w:r w:rsidRPr="009D488A">
        <w:rPr>
          <w:rFonts w:eastAsiaTheme="minorEastAsia"/>
        </w:rPr>
        <w:t xml:space="preserve">information we have learned in confidence </w:t>
      </w:r>
      <w:r>
        <w:rPr>
          <w:rFonts w:eastAsiaTheme="minorEastAsia"/>
        </w:rPr>
        <w:t xml:space="preserve">is kept </w:t>
      </w:r>
      <w:r w:rsidRPr="009D488A">
        <w:rPr>
          <w:rFonts w:eastAsiaTheme="minorEastAsia"/>
        </w:rPr>
        <w:t>secure and private</w:t>
      </w:r>
      <w:r>
        <w:rPr>
          <w:rFonts w:eastAsiaTheme="minorEastAsia"/>
        </w:rPr>
        <w:t xml:space="preserve">, and is not divulged to </w:t>
      </w:r>
      <w:r w:rsidRPr="009D488A">
        <w:rPr>
          <w:rFonts w:eastAsiaTheme="minorEastAsia"/>
        </w:rPr>
        <w:t>other people without permission</w:t>
      </w:r>
      <w:r>
        <w:rPr>
          <w:rFonts w:eastAsiaTheme="minorEastAsia"/>
        </w:rPr>
        <w:t>)</w:t>
      </w:r>
      <w:r w:rsidRPr="009D488A">
        <w:rPr>
          <w:rFonts w:eastAsiaTheme="minorEastAsia"/>
        </w:rPr>
        <w:t>.</w:t>
      </w:r>
    </w:p>
    <w:p w14:paraId="63F950E3" w14:textId="77777777" w:rsidR="00006D41" w:rsidRDefault="000A1369" w:rsidP="00341694">
      <w:pPr>
        <w:pStyle w:val="ListParagraph"/>
        <w:numPr>
          <w:ilvl w:val="0"/>
          <w:numId w:val="7"/>
        </w:numPr>
        <w:jc w:val="both"/>
        <w:rPr>
          <w:rFonts w:eastAsiaTheme="minorEastAsia"/>
        </w:rPr>
      </w:pPr>
      <w:r>
        <w:rPr>
          <w:rFonts w:eastAsiaTheme="minorEastAsia"/>
        </w:rPr>
        <w:t xml:space="preserve">Hold the consultation in a place where the participants will not be observed or overheard by passers-by. </w:t>
      </w:r>
    </w:p>
    <w:p w14:paraId="6EA0F951" w14:textId="77777777" w:rsidR="007D0397" w:rsidRPr="007D0397" w:rsidRDefault="00006D41" w:rsidP="00341694">
      <w:pPr>
        <w:pStyle w:val="ListParagraph"/>
        <w:numPr>
          <w:ilvl w:val="0"/>
          <w:numId w:val="7"/>
        </w:numPr>
        <w:jc w:val="both"/>
        <w:rPr>
          <w:rFonts w:eastAsiaTheme="minorEastAsia"/>
        </w:rPr>
      </w:pPr>
      <w:r>
        <w:rPr>
          <w:rFonts w:eastAsiaTheme="minorEastAsia"/>
        </w:rPr>
        <w:t>(Pseud-)anonymise the data from the consultation and remind participants that this will be done.</w:t>
      </w:r>
      <w:r w:rsidR="007D0397" w:rsidRPr="007D0397">
        <w:rPr>
          <w:rFonts w:eastAsiaTheme="minorEastAsia"/>
        </w:rPr>
        <w:t xml:space="preserve"> </w:t>
      </w:r>
    </w:p>
    <w:p w14:paraId="30898500" w14:textId="77777777" w:rsidR="00006D41" w:rsidRDefault="007D0397" w:rsidP="00341694">
      <w:pPr>
        <w:pStyle w:val="ListParagraph"/>
        <w:numPr>
          <w:ilvl w:val="0"/>
          <w:numId w:val="7"/>
        </w:numPr>
        <w:jc w:val="both"/>
        <w:rPr>
          <w:rFonts w:eastAsiaTheme="minorEastAsia"/>
        </w:rPr>
      </w:pPr>
      <w:r w:rsidRPr="007D0397">
        <w:rPr>
          <w:rFonts w:eastAsiaTheme="minorEastAsia"/>
        </w:rPr>
        <w:t xml:space="preserve">Keep the </w:t>
      </w:r>
      <w:r>
        <w:rPr>
          <w:rFonts w:eastAsiaTheme="minorEastAsia"/>
        </w:rPr>
        <w:t xml:space="preserve">list of names and pseudonyms </w:t>
      </w:r>
      <w:r w:rsidRPr="007D0397">
        <w:rPr>
          <w:rFonts w:eastAsiaTheme="minorEastAsia"/>
        </w:rPr>
        <w:t xml:space="preserve">in a secure location so that people other than the researchers do not have access to it.   </w:t>
      </w:r>
    </w:p>
    <w:p w14:paraId="26C00C1F" w14:textId="77777777" w:rsidR="00B912B3" w:rsidRDefault="00006D41" w:rsidP="00341694">
      <w:pPr>
        <w:pStyle w:val="ListParagraph"/>
        <w:numPr>
          <w:ilvl w:val="0"/>
          <w:numId w:val="8"/>
        </w:numPr>
        <w:jc w:val="both"/>
        <w:rPr>
          <w:rFonts w:eastAsiaTheme="minorEastAsia"/>
        </w:rPr>
      </w:pPr>
      <w:r>
        <w:rPr>
          <w:rFonts w:eastAsiaTheme="minorEastAsia"/>
        </w:rPr>
        <w:t>Encourage all participants to contribute to the discussion, whilst taking take to respect their personal boundaries in relation to self-disclosure.</w:t>
      </w:r>
      <w:r w:rsidR="00B912B3" w:rsidRPr="00B912B3">
        <w:rPr>
          <w:rFonts w:eastAsiaTheme="minorEastAsia"/>
        </w:rPr>
        <w:t xml:space="preserve"> </w:t>
      </w:r>
    </w:p>
    <w:p w14:paraId="309DC0CD" w14:textId="77777777" w:rsidR="00B912B3" w:rsidRPr="00695662" w:rsidRDefault="00FC7696" w:rsidP="00341694">
      <w:pPr>
        <w:pStyle w:val="ListParagraph"/>
        <w:numPr>
          <w:ilvl w:val="0"/>
          <w:numId w:val="8"/>
        </w:numPr>
        <w:jc w:val="both"/>
        <w:rPr>
          <w:rFonts w:eastAsiaTheme="minorEastAsia"/>
        </w:rPr>
      </w:pPr>
      <w:r>
        <w:rPr>
          <w:rFonts w:eastAsiaTheme="minorEastAsia"/>
        </w:rPr>
        <w:t>E</w:t>
      </w:r>
      <w:r w:rsidR="00B912B3">
        <w:rPr>
          <w:rFonts w:eastAsiaTheme="minorEastAsia"/>
        </w:rPr>
        <w:t>nsure that participants have the opportunity to check the transcript or summary of the discussion (and to ask for something they said and wished they hadn’t to be taken out – unlikely to occur)</w:t>
      </w:r>
    </w:p>
    <w:p w14:paraId="2EFA5383" w14:textId="77777777" w:rsidR="00FA517F" w:rsidRPr="00985031" w:rsidRDefault="00CA4B23" w:rsidP="00210CBA">
      <w:pPr>
        <w:pStyle w:val="Heading2"/>
        <w:rPr>
          <w:rFonts w:eastAsiaTheme="minorEastAsia"/>
        </w:rPr>
      </w:pPr>
      <w:r>
        <w:rPr>
          <w:rFonts w:eastAsiaTheme="minorEastAsia"/>
        </w:rPr>
        <w:lastRenderedPageBreak/>
        <w:t>Protection from harm (</w:t>
      </w:r>
      <w:r w:rsidR="00547884" w:rsidRPr="00985031">
        <w:rPr>
          <w:rFonts w:eastAsiaTheme="minorEastAsia"/>
        </w:rPr>
        <w:t>non-maleficence</w:t>
      </w:r>
      <w:r>
        <w:rPr>
          <w:rFonts w:eastAsiaTheme="minorEastAsia"/>
        </w:rPr>
        <w:t>)</w:t>
      </w:r>
    </w:p>
    <w:p w14:paraId="546296AA" w14:textId="77777777" w:rsidR="00FA277C" w:rsidRDefault="00985031" w:rsidP="00D127FB">
      <w:pPr>
        <w:jc w:val="both"/>
        <w:rPr>
          <w:rFonts w:eastAsiaTheme="minorEastAsia"/>
        </w:rPr>
      </w:pPr>
      <w:r>
        <w:rPr>
          <w:rFonts w:eastAsiaTheme="minorEastAsia"/>
        </w:rPr>
        <w:t>P</w:t>
      </w:r>
      <w:r w:rsidR="00FA517F">
        <w:rPr>
          <w:rFonts w:eastAsiaTheme="minorEastAsia"/>
        </w:rPr>
        <w:t xml:space="preserve">articipants </w:t>
      </w:r>
      <w:r w:rsidR="00CA4B23">
        <w:rPr>
          <w:rFonts w:eastAsiaTheme="minorEastAsia"/>
        </w:rPr>
        <w:t xml:space="preserve">involved in a research project </w:t>
      </w:r>
      <w:r>
        <w:rPr>
          <w:rFonts w:eastAsiaTheme="minorEastAsia"/>
        </w:rPr>
        <w:t>must be protected from</w:t>
      </w:r>
      <w:r w:rsidR="00FA517F">
        <w:rPr>
          <w:rFonts w:eastAsiaTheme="minorEastAsia"/>
        </w:rPr>
        <w:t xml:space="preserve"> potential harm</w:t>
      </w:r>
      <w:r w:rsidR="00CA4B23">
        <w:rPr>
          <w:rFonts w:eastAsiaTheme="minorEastAsia"/>
        </w:rPr>
        <w:t xml:space="preserve"> (</w:t>
      </w:r>
      <w:r w:rsidR="004864CE">
        <w:rPr>
          <w:rFonts w:eastAsiaTheme="minorEastAsia"/>
        </w:rPr>
        <w:t>World Medical Association, 2000</w:t>
      </w:r>
      <w:r w:rsidR="00CA4B23">
        <w:rPr>
          <w:rFonts w:eastAsiaTheme="minorEastAsia"/>
        </w:rPr>
        <w:t>)</w:t>
      </w:r>
      <w:r>
        <w:rPr>
          <w:rFonts w:eastAsiaTheme="minorEastAsia"/>
        </w:rPr>
        <w:t xml:space="preserve">. </w:t>
      </w:r>
      <w:r w:rsidR="00CA4B23">
        <w:rPr>
          <w:rFonts w:eastAsiaTheme="minorEastAsia"/>
        </w:rPr>
        <w:t>The biomedical ethical princip</w:t>
      </w:r>
      <w:r w:rsidR="00FC7696">
        <w:rPr>
          <w:rFonts w:eastAsiaTheme="minorEastAsia"/>
        </w:rPr>
        <w:t>le</w:t>
      </w:r>
      <w:r w:rsidR="00CA4B23">
        <w:rPr>
          <w:rFonts w:eastAsiaTheme="minorEastAsia"/>
        </w:rPr>
        <w:t xml:space="preserve"> of non-maleficence is therefore relevant, namely </w:t>
      </w:r>
      <w:r w:rsidR="00AE22DB">
        <w:rPr>
          <w:rFonts w:eastAsiaTheme="minorEastAsia"/>
        </w:rPr>
        <w:t>avoiding the causation of harm</w:t>
      </w:r>
      <w:r w:rsidR="009D59F1">
        <w:rPr>
          <w:rFonts w:eastAsiaTheme="minorEastAsia"/>
        </w:rPr>
        <w:t xml:space="preserve"> (Beauchamp and Childress, 2008)</w:t>
      </w:r>
      <w:r w:rsidR="00CA4B23">
        <w:rPr>
          <w:rFonts w:eastAsiaTheme="minorEastAsia"/>
        </w:rPr>
        <w:t xml:space="preserve">. </w:t>
      </w:r>
      <w:r w:rsidR="009539EF">
        <w:rPr>
          <w:rFonts w:eastAsiaTheme="minorEastAsia"/>
        </w:rPr>
        <w:t xml:space="preserve">This is a fundamental requirement for the conduct of ethical research and should </w:t>
      </w:r>
      <w:r w:rsidR="00CA4B23">
        <w:rPr>
          <w:rFonts w:eastAsiaTheme="minorEastAsia"/>
        </w:rPr>
        <w:t xml:space="preserve">ideally </w:t>
      </w:r>
      <w:r w:rsidR="009539EF">
        <w:rPr>
          <w:rFonts w:eastAsiaTheme="minorEastAsia"/>
        </w:rPr>
        <w:t xml:space="preserve">apply to this consultation which is part of a more global research project. </w:t>
      </w:r>
      <w:r w:rsidR="005A0BE4">
        <w:rPr>
          <w:rFonts w:eastAsiaTheme="minorEastAsia"/>
        </w:rPr>
        <w:t xml:space="preserve">Different types of harm </w:t>
      </w:r>
      <w:r w:rsidR="00AE22DB">
        <w:rPr>
          <w:rFonts w:eastAsiaTheme="minorEastAsia"/>
        </w:rPr>
        <w:t>are</w:t>
      </w:r>
      <w:r w:rsidR="005A0BE4">
        <w:rPr>
          <w:rFonts w:eastAsiaTheme="minorEastAsia"/>
        </w:rPr>
        <w:t xml:space="preserve"> possible (e.g. physical, emotional, psychological and financial). </w:t>
      </w:r>
      <w:r w:rsidR="00695662">
        <w:rPr>
          <w:rFonts w:eastAsiaTheme="minorEastAsia"/>
        </w:rPr>
        <w:t>The potential v</w:t>
      </w:r>
      <w:r w:rsidR="00695662" w:rsidRPr="00FB641D">
        <w:rPr>
          <w:rFonts w:eastAsiaTheme="minorEastAsia"/>
        </w:rPr>
        <w:t>ulnerability</w:t>
      </w:r>
      <w:r w:rsidR="00695662">
        <w:rPr>
          <w:rFonts w:eastAsiaTheme="minorEastAsia"/>
        </w:rPr>
        <w:t xml:space="preserve"> of people with dementia should be recognised but this should not lead to over-protection and paternalism. </w:t>
      </w:r>
      <w:r w:rsidR="00FA277C">
        <w:rPr>
          <w:rFonts w:eastAsiaTheme="minorEastAsia"/>
        </w:rPr>
        <w:t xml:space="preserve">Avoiding harm should be combined with promoting wellbeing (similar to the principle of beneficence). </w:t>
      </w:r>
    </w:p>
    <w:p w14:paraId="653ADBEF" w14:textId="77777777" w:rsidR="00E91B5B" w:rsidRPr="00E91B5B" w:rsidRDefault="00E91B5B" w:rsidP="00E91B5B">
      <w:pPr>
        <w:jc w:val="both"/>
        <w:rPr>
          <w:rFonts w:eastAsiaTheme="minorEastAsia"/>
        </w:rPr>
      </w:pPr>
      <w:r>
        <w:rPr>
          <w:rFonts w:eastAsiaTheme="minorEastAsia"/>
        </w:rPr>
        <w:t xml:space="preserve">Avoiding harm and promoting the wellbeing of participants also involves paying </w:t>
      </w:r>
      <w:r w:rsidRPr="00E91B5B">
        <w:rPr>
          <w:rFonts w:eastAsiaTheme="minorEastAsia"/>
        </w:rPr>
        <w:t>attention to the concepts of respect, integrity, singularity/personhood</w:t>
      </w:r>
      <w:r>
        <w:rPr>
          <w:rFonts w:eastAsiaTheme="minorEastAsia"/>
        </w:rPr>
        <w:t>, relationality and</w:t>
      </w:r>
      <w:r w:rsidRPr="00E91B5B">
        <w:rPr>
          <w:rFonts w:eastAsiaTheme="minorEastAsia"/>
        </w:rPr>
        <w:t xml:space="preserve"> historicity (Alzheimer Europe, 2014)</w:t>
      </w:r>
      <w:r w:rsidR="007E4FA7">
        <w:rPr>
          <w:rFonts w:eastAsiaTheme="minorEastAsia"/>
        </w:rPr>
        <w:t xml:space="preserve">. Virtues such as </w:t>
      </w:r>
      <w:r w:rsidR="007E4FA7" w:rsidRPr="00E91B5B">
        <w:rPr>
          <w:rFonts w:eastAsiaTheme="minorEastAsia"/>
        </w:rPr>
        <w:t xml:space="preserve">compassion, </w:t>
      </w:r>
      <w:r w:rsidR="007E4FA7">
        <w:rPr>
          <w:rFonts w:eastAsiaTheme="minorEastAsia"/>
        </w:rPr>
        <w:t>discernment, integrity</w:t>
      </w:r>
      <w:r w:rsidR="007E4FA7" w:rsidRPr="00E91B5B">
        <w:rPr>
          <w:rFonts w:eastAsiaTheme="minorEastAsia"/>
        </w:rPr>
        <w:t xml:space="preserve">, </w:t>
      </w:r>
      <w:r w:rsidR="007E4FA7">
        <w:rPr>
          <w:rFonts w:eastAsiaTheme="minorEastAsia"/>
        </w:rPr>
        <w:t>trustworthiness, conscience and conscientiousness</w:t>
      </w:r>
      <w:r w:rsidR="00DC0D5F" w:rsidRPr="00DC0D5F">
        <w:rPr>
          <w:rFonts w:eastAsiaTheme="minorEastAsia"/>
        </w:rPr>
        <w:t xml:space="preserve"> </w:t>
      </w:r>
      <w:r w:rsidR="00DC0D5F">
        <w:rPr>
          <w:rFonts w:eastAsiaTheme="minorEastAsia"/>
        </w:rPr>
        <w:t>are also important in the healthcare domain</w:t>
      </w:r>
      <w:r w:rsidR="007E4FA7">
        <w:rPr>
          <w:rFonts w:eastAsiaTheme="minorEastAsia"/>
        </w:rPr>
        <w:t>, as highlighted by Beauchamp and Childress (2008)</w:t>
      </w:r>
      <w:r w:rsidR="00DC0D5F">
        <w:rPr>
          <w:rFonts w:eastAsiaTheme="minorEastAsia"/>
        </w:rPr>
        <w:t xml:space="preserve">, who also suggest that some virtues (e.g. loyalty, courage, kindness and benevolence) may at times lead to inappropriate and unacceptable behaviour.  </w:t>
      </w:r>
    </w:p>
    <w:p w14:paraId="1E145A69" w14:textId="77777777" w:rsidR="00F51DA1" w:rsidRDefault="00985031" w:rsidP="00D127FB">
      <w:pPr>
        <w:jc w:val="both"/>
        <w:rPr>
          <w:rFonts w:eastAsiaTheme="minorEastAsia"/>
        </w:rPr>
      </w:pPr>
      <w:r>
        <w:rPr>
          <w:rFonts w:eastAsiaTheme="minorEastAsia"/>
        </w:rPr>
        <w:t xml:space="preserve">Whilst </w:t>
      </w:r>
      <w:r w:rsidR="009539EF">
        <w:rPr>
          <w:rFonts w:eastAsiaTheme="minorEastAsia"/>
        </w:rPr>
        <w:t>the topic of this consultation</w:t>
      </w:r>
      <w:r>
        <w:rPr>
          <w:rFonts w:eastAsiaTheme="minorEastAsia"/>
        </w:rPr>
        <w:t xml:space="preserve"> is </w:t>
      </w:r>
      <w:r w:rsidR="003C671B">
        <w:rPr>
          <w:rFonts w:eastAsiaTheme="minorEastAsia"/>
        </w:rPr>
        <w:t xml:space="preserve">perhaps </w:t>
      </w:r>
      <w:r>
        <w:rPr>
          <w:rFonts w:eastAsiaTheme="minorEastAsia"/>
        </w:rPr>
        <w:t xml:space="preserve">not </w:t>
      </w:r>
      <w:r w:rsidR="00FA517F">
        <w:rPr>
          <w:rFonts w:eastAsiaTheme="minorEastAsia"/>
        </w:rPr>
        <w:t xml:space="preserve">sensitive </w:t>
      </w:r>
      <w:r w:rsidRPr="00985031">
        <w:rPr>
          <w:rFonts w:eastAsiaTheme="minorEastAsia"/>
          <w:i/>
        </w:rPr>
        <w:t>per se</w:t>
      </w:r>
      <w:r>
        <w:rPr>
          <w:rFonts w:eastAsiaTheme="minorEastAsia"/>
        </w:rPr>
        <w:t xml:space="preserve">, </w:t>
      </w:r>
      <w:r w:rsidR="00FA517F">
        <w:rPr>
          <w:rFonts w:eastAsiaTheme="minorEastAsia"/>
        </w:rPr>
        <w:t xml:space="preserve">participants may </w:t>
      </w:r>
      <w:r w:rsidR="009D59F1">
        <w:rPr>
          <w:rFonts w:eastAsiaTheme="minorEastAsia"/>
        </w:rPr>
        <w:t xml:space="preserve">nevertheless </w:t>
      </w:r>
      <w:r w:rsidR="00FA517F">
        <w:rPr>
          <w:rFonts w:eastAsiaTheme="minorEastAsia"/>
        </w:rPr>
        <w:t>touch on personal and health-related issues linked to their private lives and relationships with other people</w:t>
      </w:r>
      <w:r>
        <w:rPr>
          <w:rFonts w:eastAsiaTheme="minorEastAsia"/>
        </w:rPr>
        <w:t>. Th</w:t>
      </w:r>
      <w:r w:rsidR="00FA517F">
        <w:rPr>
          <w:rFonts w:eastAsiaTheme="minorEastAsia"/>
        </w:rPr>
        <w:t xml:space="preserve">e group discussion may result in issues arising (e.g. about certain symptoms of dementia </w:t>
      </w:r>
      <w:r>
        <w:rPr>
          <w:rFonts w:eastAsiaTheme="minorEastAsia"/>
        </w:rPr>
        <w:t>and the impact of</w:t>
      </w:r>
      <w:r w:rsidR="00FA517F">
        <w:rPr>
          <w:rFonts w:eastAsiaTheme="minorEastAsia"/>
        </w:rPr>
        <w:t xml:space="preserve"> loss of capacity) which might lead to reflection and emotional or psychological responses (e.g. frustration, embarrassment, shame or fear). </w:t>
      </w:r>
      <w:r w:rsidR="00E93285">
        <w:rPr>
          <w:rFonts w:eastAsiaTheme="minorEastAsia"/>
        </w:rPr>
        <w:t xml:space="preserve">Whilst such reactions might be expressed during the consultation, for some participants they may be experienced </w:t>
      </w:r>
      <w:r w:rsidR="00695662">
        <w:rPr>
          <w:rFonts w:eastAsiaTheme="minorEastAsia"/>
        </w:rPr>
        <w:t>later</w:t>
      </w:r>
      <w:r w:rsidR="00E93285">
        <w:rPr>
          <w:rFonts w:eastAsiaTheme="minorEastAsia"/>
        </w:rPr>
        <w:t xml:space="preserve">. </w:t>
      </w:r>
      <w:r w:rsidR="00695662">
        <w:rPr>
          <w:rFonts w:eastAsiaTheme="minorEastAsia"/>
        </w:rPr>
        <w:t>Barbour</w:t>
      </w:r>
      <w:r w:rsidR="00F529AE">
        <w:rPr>
          <w:rFonts w:eastAsiaTheme="minorEastAsia"/>
        </w:rPr>
        <w:t xml:space="preserve"> (2009) </w:t>
      </w:r>
      <w:r w:rsidR="00695662">
        <w:rPr>
          <w:rFonts w:eastAsiaTheme="minorEastAsia"/>
        </w:rPr>
        <w:t>suggests the need to have relevant contact numbers at hand so that researchers do not “simply grab the data and run” (p.92).</w:t>
      </w:r>
      <w:r w:rsidR="001C0142">
        <w:rPr>
          <w:rFonts w:eastAsiaTheme="minorEastAsia"/>
        </w:rPr>
        <w:t xml:space="preserve"> Ideally, participants should leave the consultation not only “unharmed” but also feeling good about have been heard and having contributed towards something important. </w:t>
      </w:r>
    </w:p>
    <w:p w14:paraId="0DDD27EB" w14:textId="77777777" w:rsidR="00F51DA1" w:rsidRDefault="00F51DA1" w:rsidP="00D127FB">
      <w:pPr>
        <w:jc w:val="both"/>
        <w:rPr>
          <w:rFonts w:eastAsiaTheme="minorEastAsia"/>
        </w:rPr>
      </w:pPr>
      <w:r>
        <w:rPr>
          <w:rFonts w:eastAsiaTheme="minorEastAsia"/>
        </w:rPr>
        <w:t xml:space="preserve">Participants may also disclose information which has ethical implications </w:t>
      </w:r>
      <w:r w:rsidR="003C671B">
        <w:rPr>
          <w:rFonts w:eastAsiaTheme="minorEastAsia"/>
        </w:rPr>
        <w:t>such as</w:t>
      </w:r>
      <w:r>
        <w:rPr>
          <w:rFonts w:eastAsiaTheme="minorEastAsia"/>
        </w:rPr>
        <w:t xml:space="preserve"> possible abuse</w:t>
      </w:r>
      <w:r w:rsidR="003C671B">
        <w:rPr>
          <w:rFonts w:eastAsiaTheme="minorEastAsia"/>
        </w:rPr>
        <w:t xml:space="preserve"> (Smith, 1995)</w:t>
      </w:r>
      <w:r>
        <w:rPr>
          <w:rFonts w:eastAsiaTheme="minorEastAsia"/>
        </w:rPr>
        <w:t>. Moderators will need to consider</w:t>
      </w:r>
      <w:r w:rsidR="003C671B">
        <w:rPr>
          <w:rFonts w:eastAsiaTheme="minorEastAsia"/>
        </w:rPr>
        <w:t xml:space="preserve"> beforehand</w:t>
      </w:r>
      <w:r>
        <w:rPr>
          <w:rFonts w:eastAsiaTheme="minorEastAsia"/>
        </w:rPr>
        <w:t xml:space="preserve"> how to deal with such information, should this </w:t>
      </w:r>
      <w:r w:rsidR="003C671B">
        <w:rPr>
          <w:rFonts w:eastAsiaTheme="minorEastAsia"/>
        </w:rPr>
        <w:t>situation arise</w:t>
      </w:r>
      <w:r>
        <w:rPr>
          <w:rFonts w:eastAsiaTheme="minorEastAsia"/>
        </w:rPr>
        <w:t xml:space="preserve">. </w:t>
      </w:r>
    </w:p>
    <w:p w14:paraId="78511791" w14:textId="77777777" w:rsidR="00566B55" w:rsidRDefault="00566B55">
      <w:pPr>
        <w:rPr>
          <w:rFonts w:eastAsiaTheme="minorEastAsia"/>
          <w:i/>
        </w:rPr>
      </w:pPr>
      <w:r w:rsidRPr="00566B55">
        <w:rPr>
          <w:rFonts w:eastAsiaTheme="minorEastAsia"/>
          <w:i/>
        </w:rPr>
        <w:t>Action points:</w:t>
      </w:r>
    </w:p>
    <w:p w14:paraId="5A021487" w14:textId="77777777" w:rsidR="0097077C" w:rsidRDefault="00E91B5B" w:rsidP="00341694">
      <w:pPr>
        <w:pStyle w:val="ListParagraph"/>
        <w:numPr>
          <w:ilvl w:val="0"/>
          <w:numId w:val="8"/>
        </w:numPr>
        <w:jc w:val="both"/>
        <w:rPr>
          <w:rFonts w:eastAsiaTheme="minorEastAsia"/>
        </w:rPr>
      </w:pPr>
      <w:r>
        <w:rPr>
          <w:rFonts w:eastAsiaTheme="minorEastAsia"/>
        </w:rPr>
        <w:t>G</w:t>
      </w:r>
      <w:r w:rsidR="0097077C">
        <w:rPr>
          <w:rFonts w:eastAsiaTheme="minorEastAsia"/>
        </w:rPr>
        <w:t xml:space="preserve">o through the </w:t>
      </w:r>
      <w:r w:rsidR="0097077C" w:rsidRPr="00230B5C">
        <w:rPr>
          <w:rFonts w:eastAsiaTheme="minorEastAsia"/>
        </w:rPr>
        <w:t xml:space="preserve">“ground rules” at the beginning </w:t>
      </w:r>
      <w:r w:rsidR="0097077C">
        <w:rPr>
          <w:rFonts w:eastAsiaTheme="minorEastAsia"/>
        </w:rPr>
        <w:t xml:space="preserve">of the consultation </w:t>
      </w:r>
      <w:r w:rsidR="0097077C" w:rsidRPr="00230B5C">
        <w:rPr>
          <w:rFonts w:eastAsiaTheme="minorEastAsia"/>
        </w:rPr>
        <w:t>and hav</w:t>
      </w:r>
      <w:r w:rsidR="0097077C">
        <w:rPr>
          <w:rFonts w:eastAsiaTheme="minorEastAsia"/>
        </w:rPr>
        <w:t>e them on a flip chart or print</w:t>
      </w:r>
      <w:r w:rsidR="0097077C" w:rsidRPr="00230B5C">
        <w:rPr>
          <w:rFonts w:eastAsiaTheme="minorEastAsia"/>
        </w:rPr>
        <w:t>out to remind participants.</w:t>
      </w:r>
      <w:r w:rsidR="0097077C">
        <w:rPr>
          <w:rFonts w:eastAsiaTheme="minorEastAsia"/>
        </w:rPr>
        <w:t xml:space="preserve"> </w:t>
      </w:r>
    </w:p>
    <w:p w14:paraId="1CDA6CD1" w14:textId="77777777" w:rsidR="009539EF" w:rsidRPr="00566B55" w:rsidRDefault="00E91B5B" w:rsidP="00341694">
      <w:pPr>
        <w:pStyle w:val="ListParagraph"/>
        <w:numPr>
          <w:ilvl w:val="0"/>
          <w:numId w:val="8"/>
        </w:numPr>
        <w:jc w:val="both"/>
        <w:rPr>
          <w:rFonts w:eastAsiaTheme="minorEastAsia"/>
        </w:rPr>
      </w:pPr>
      <w:r>
        <w:rPr>
          <w:rFonts w:eastAsiaTheme="minorEastAsia"/>
        </w:rPr>
        <w:t>A</w:t>
      </w:r>
      <w:r w:rsidR="00421465" w:rsidRPr="00566B55">
        <w:rPr>
          <w:rFonts w:eastAsiaTheme="minorEastAsia"/>
        </w:rPr>
        <w:t>void the use of derogatory terms such as “demented”</w:t>
      </w:r>
      <w:r w:rsidR="00A81879">
        <w:rPr>
          <w:rFonts w:eastAsiaTheme="minorEastAsia"/>
        </w:rPr>
        <w:t xml:space="preserve"> when interacting with people with dementia and reporting findings</w:t>
      </w:r>
      <w:r w:rsidR="00421465" w:rsidRPr="00566B55">
        <w:rPr>
          <w:rFonts w:eastAsiaTheme="minorEastAsia"/>
        </w:rPr>
        <w:t xml:space="preserve">; </w:t>
      </w:r>
    </w:p>
    <w:p w14:paraId="028D4560" w14:textId="77777777" w:rsidR="00341694" w:rsidRDefault="00341694" w:rsidP="00341694">
      <w:pPr>
        <w:pStyle w:val="ListParagraph"/>
        <w:numPr>
          <w:ilvl w:val="0"/>
          <w:numId w:val="8"/>
        </w:numPr>
        <w:jc w:val="both"/>
        <w:rPr>
          <w:rFonts w:eastAsiaTheme="minorEastAsia"/>
        </w:rPr>
      </w:pPr>
      <w:r>
        <w:rPr>
          <w:rFonts w:eastAsiaTheme="minorEastAsia"/>
        </w:rPr>
        <w:t>D</w:t>
      </w:r>
      <w:r w:rsidRPr="00695662">
        <w:rPr>
          <w:rFonts w:eastAsiaTheme="minorEastAsia"/>
        </w:rPr>
        <w:t>o your best to handle emotional and psychological reactions, recognising the potential vulnerability of some of the participants</w:t>
      </w:r>
    </w:p>
    <w:p w14:paraId="00AB373D" w14:textId="77777777" w:rsidR="00341694" w:rsidRDefault="00341694" w:rsidP="00341694">
      <w:pPr>
        <w:pStyle w:val="ListParagraph"/>
        <w:numPr>
          <w:ilvl w:val="0"/>
          <w:numId w:val="8"/>
        </w:numPr>
        <w:jc w:val="both"/>
        <w:rPr>
          <w:rFonts w:eastAsiaTheme="minorEastAsia"/>
        </w:rPr>
      </w:pPr>
      <w:r>
        <w:rPr>
          <w:rFonts w:eastAsiaTheme="minorEastAsia"/>
        </w:rPr>
        <w:t>B</w:t>
      </w:r>
      <w:r w:rsidRPr="00695662">
        <w:rPr>
          <w:rFonts w:eastAsiaTheme="minorEastAsia"/>
        </w:rPr>
        <w:t>e careful not to adopt a psychotherapeutic role for which you are not equipped. A sensitive and compassionate approach is needed</w:t>
      </w:r>
      <w:r>
        <w:rPr>
          <w:rFonts w:eastAsiaTheme="minorEastAsia"/>
        </w:rPr>
        <w:t>,</w:t>
      </w:r>
      <w:r w:rsidRPr="00695662">
        <w:rPr>
          <w:rFonts w:eastAsiaTheme="minorEastAsia"/>
        </w:rPr>
        <w:t xml:space="preserve"> however</w:t>
      </w:r>
      <w:r>
        <w:rPr>
          <w:rFonts w:eastAsiaTheme="minorEastAsia"/>
        </w:rPr>
        <w:t>,</w:t>
      </w:r>
      <w:r w:rsidRPr="00695662">
        <w:rPr>
          <w:rFonts w:eastAsiaTheme="minorEastAsia"/>
        </w:rPr>
        <w:t xml:space="preserve"> to avoid appearing cold and aloof (Kvale and Brinkmann, 20</w:t>
      </w:r>
      <w:r>
        <w:rPr>
          <w:rFonts w:eastAsiaTheme="minorEastAsia"/>
        </w:rPr>
        <w:t>09</w:t>
      </w:r>
      <w:r w:rsidRPr="00695662">
        <w:rPr>
          <w:rFonts w:eastAsiaTheme="minorEastAsia"/>
        </w:rPr>
        <w:t>)</w:t>
      </w:r>
      <w:r>
        <w:rPr>
          <w:rFonts w:eastAsiaTheme="minorEastAsia"/>
        </w:rPr>
        <w:t>.</w:t>
      </w:r>
    </w:p>
    <w:p w14:paraId="4372DDF4" w14:textId="77777777" w:rsidR="00341694" w:rsidRDefault="00341694" w:rsidP="00341694">
      <w:pPr>
        <w:pStyle w:val="ListParagraph"/>
        <w:numPr>
          <w:ilvl w:val="0"/>
          <w:numId w:val="8"/>
        </w:numPr>
        <w:jc w:val="both"/>
        <w:rPr>
          <w:rFonts w:eastAsiaTheme="minorEastAsia"/>
        </w:rPr>
      </w:pPr>
      <w:r>
        <w:rPr>
          <w:rFonts w:eastAsiaTheme="minorEastAsia"/>
        </w:rPr>
        <w:t>Reflect on your understanding and perception of dementia (see Alzheimer Europe’s 2013 report on the ethical issues linked to the perceptions and portrayal of dementia)</w:t>
      </w:r>
    </w:p>
    <w:p w14:paraId="28B9AC5B" w14:textId="77777777" w:rsidR="009539EF" w:rsidRPr="00566B55" w:rsidRDefault="00E91B5B" w:rsidP="00341694">
      <w:pPr>
        <w:pStyle w:val="ListParagraph"/>
        <w:numPr>
          <w:ilvl w:val="0"/>
          <w:numId w:val="8"/>
        </w:numPr>
        <w:jc w:val="both"/>
        <w:rPr>
          <w:rFonts w:eastAsiaTheme="minorEastAsia"/>
        </w:rPr>
      </w:pPr>
      <w:r>
        <w:rPr>
          <w:rFonts w:eastAsiaTheme="minorEastAsia"/>
        </w:rPr>
        <w:t>C</w:t>
      </w:r>
      <w:r w:rsidR="009539EF" w:rsidRPr="00566B55">
        <w:rPr>
          <w:rFonts w:eastAsiaTheme="minorEastAsia"/>
        </w:rPr>
        <w:t>onsider each person in their entirety, recognising that they have a past and a current life and that this might not be immediately apparent but it is part of who and what they are.</w:t>
      </w:r>
    </w:p>
    <w:p w14:paraId="7615FA2B" w14:textId="77777777" w:rsidR="00695662" w:rsidRDefault="00DC0D5F" w:rsidP="00341694">
      <w:pPr>
        <w:pStyle w:val="ListParagraph"/>
        <w:numPr>
          <w:ilvl w:val="0"/>
          <w:numId w:val="8"/>
        </w:numPr>
        <w:jc w:val="both"/>
        <w:rPr>
          <w:rFonts w:eastAsiaTheme="minorEastAsia"/>
        </w:rPr>
      </w:pPr>
      <w:r>
        <w:rPr>
          <w:rFonts w:eastAsiaTheme="minorEastAsia"/>
        </w:rPr>
        <w:t>A</w:t>
      </w:r>
      <w:r w:rsidR="00421465" w:rsidRPr="00566B55">
        <w:rPr>
          <w:rFonts w:eastAsiaTheme="minorEastAsia"/>
        </w:rPr>
        <w:t>void reducing people with dementia solely to their condition</w:t>
      </w:r>
      <w:r>
        <w:rPr>
          <w:rFonts w:eastAsiaTheme="minorEastAsia"/>
        </w:rPr>
        <w:t xml:space="preserve">. People with dementia </w:t>
      </w:r>
      <w:r w:rsidR="00421465" w:rsidRPr="00566B55">
        <w:rPr>
          <w:rFonts w:eastAsiaTheme="minorEastAsia"/>
          <w:i/>
        </w:rPr>
        <w:t>have</w:t>
      </w:r>
      <w:r w:rsidR="00421465" w:rsidRPr="00566B55">
        <w:rPr>
          <w:rFonts w:eastAsiaTheme="minorEastAsia"/>
        </w:rPr>
        <w:t xml:space="preserve"> dementia but each person is more than their dementia</w:t>
      </w:r>
      <w:r>
        <w:rPr>
          <w:rFonts w:eastAsiaTheme="minorEastAsia"/>
        </w:rPr>
        <w:t>.</w:t>
      </w:r>
      <w:r w:rsidR="00695662" w:rsidRPr="00695662">
        <w:rPr>
          <w:rFonts w:eastAsiaTheme="minorEastAsia"/>
        </w:rPr>
        <w:t xml:space="preserve"> </w:t>
      </w:r>
    </w:p>
    <w:p w14:paraId="442B3F07" w14:textId="77777777" w:rsidR="00985031" w:rsidRPr="00566B55" w:rsidRDefault="00DC0D5F" w:rsidP="00341694">
      <w:pPr>
        <w:pStyle w:val="ListParagraph"/>
        <w:numPr>
          <w:ilvl w:val="0"/>
          <w:numId w:val="8"/>
        </w:numPr>
        <w:jc w:val="both"/>
        <w:rPr>
          <w:rFonts w:eastAsiaTheme="minorEastAsia"/>
        </w:rPr>
      </w:pPr>
      <w:r>
        <w:rPr>
          <w:rFonts w:eastAsiaTheme="minorEastAsia"/>
        </w:rPr>
        <w:lastRenderedPageBreak/>
        <w:t>T</w:t>
      </w:r>
      <w:r w:rsidR="00695662">
        <w:rPr>
          <w:rFonts w:eastAsiaTheme="minorEastAsia"/>
        </w:rPr>
        <w:t xml:space="preserve">ry to ensure that </w:t>
      </w:r>
      <w:r>
        <w:rPr>
          <w:rFonts w:eastAsiaTheme="minorEastAsia"/>
        </w:rPr>
        <w:t>participants’</w:t>
      </w:r>
      <w:r w:rsidR="00695662">
        <w:rPr>
          <w:rFonts w:eastAsiaTheme="minorEastAsia"/>
        </w:rPr>
        <w:t xml:space="preserve"> </w:t>
      </w:r>
      <w:r w:rsidR="00695662" w:rsidRPr="00FB641D">
        <w:rPr>
          <w:rFonts w:eastAsiaTheme="minorEastAsia"/>
        </w:rPr>
        <w:t>rights</w:t>
      </w:r>
      <w:r w:rsidR="00695662">
        <w:rPr>
          <w:rFonts w:eastAsiaTheme="minorEastAsia"/>
        </w:rPr>
        <w:t xml:space="preserve">, </w:t>
      </w:r>
      <w:r w:rsidR="00695662" w:rsidRPr="00FB641D">
        <w:rPr>
          <w:rFonts w:eastAsiaTheme="minorEastAsia"/>
        </w:rPr>
        <w:t>needs</w:t>
      </w:r>
      <w:r w:rsidR="00695662">
        <w:rPr>
          <w:rFonts w:eastAsiaTheme="minorEastAsia"/>
        </w:rPr>
        <w:t xml:space="preserve"> and dignity are </w:t>
      </w:r>
      <w:r w:rsidR="00695662" w:rsidRPr="00FB641D">
        <w:rPr>
          <w:rFonts w:eastAsiaTheme="minorEastAsia"/>
        </w:rPr>
        <w:t>respected</w:t>
      </w:r>
      <w:r>
        <w:rPr>
          <w:rFonts w:eastAsiaTheme="minorEastAsia"/>
        </w:rPr>
        <w:t xml:space="preserve"> but avoid being over-protective</w:t>
      </w:r>
      <w:r w:rsidR="00695662" w:rsidRPr="00FB641D">
        <w:rPr>
          <w:rFonts w:eastAsiaTheme="minorEastAsia"/>
        </w:rPr>
        <w:t>.</w:t>
      </w:r>
    </w:p>
    <w:p w14:paraId="4A1DCFAD" w14:textId="77777777" w:rsidR="00A81879" w:rsidRDefault="00341694" w:rsidP="00341694">
      <w:pPr>
        <w:pStyle w:val="ListParagraph"/>
        <w:numPr>
          <w:ilvl w:val="0"/>
          <w:numId w:val="8"/>
        </w:numPr>
        <w:jc w:val="both"/>
        <w:rPr>
          <w:rFonts w:eastAsiaTheme="minorEastAsia"/>
        </w:rPr>
      </w:pPr>
      <w:r>
        <w:rPr>
          <w:rFonts w:eastAsiaTheme="minorEastAsia"/>
        </w:rPr>
        <w:t>M</w:t>
      </w:r>
      <w:r w:rsidR="0068418D">
        <w:rPr>
          <w:rFonts w:eastAsiaTheme="minorEastAsia"/>
        </w:rPr>
        <w:t>ake time for</w:t>
      </w:r>
      <w:r w:rsidR="00F529AE">
        <w:rPr>
          <w:rFonts w:eastAsiaTheme="minorEastAsia"/>
        </w:rPr>
        <w:t xml:space="preserve"> a debriefing</w:t>
      </w:r>
      <w:r w:rsidR="001C0142">
        <w:rPr>
          <w:rFonts w:eastAsiaTheme="minorEastAsia"/>
        </w:rPr>
        <w:t xml:space="preserve"> with the participants</w:t>
      </w:r>
      <w:r w:rsidR="00F529AE">
        <w:rPr>
          <w:rFonts w:eastAsiaTheme="minorEastAsia"/>
        </w:rPr>
        <w:t xml:space="preserve"> including the provision of </w:t>
      </w:r>
      <w:r w:rsidR="00A81879" w:rsidRPr="00695662">
        <w:rPr>
          <w:rFonts w:eastAsiaTheme="minorEastAsia"/>
        </w:rPr>
        <w:t xml:space="preserve">contact details of </w:t>
      </w:r>
      <w:r w:rsidR="00F529AE">
        <w:rPr>
          <w:rFonts w:eastAsiaTheme="minorEastAsia"/>
        </w:rPr>
        <w:t xml:space="preserve">a person or organisation </w:t>
      </w:r>
      <w:r w:rsidR="00F529AE" w:rsidRPr="00695662">
        <w:rPr>
          <w:rFonts w:eastAsiaTheme="minorEastAsia"/>
        </w:rPr>
        <w:t xml:space="preserve">(e.g. local Alzheimer association) </w:t>
      </w:r>
      <w:r w:rsidR="00A81879" w:rsidRPr="00695662">
        <w:rPr>
          <w:rFonts w:eastAsiaTheme="minorEastAsia"/>
        </w:rPr>
        <w:t>in a position either directly</w:t>
      </w:r>
      <w:r w:rsidR="00F529AE">
        <w:rPr>
          <w:rFonts w:eastAsiaTheme="minorEastAsia"/>
        </w:rPr>
        <w:t xml:space="preserve"> or indirectly to offer support.</w:t>
      </w:r>
      <w:r w:rsidR="005A0BE4">
        <w:rPr>
          <w:rFonts w:eastAsiaTheme="minorEastAsia"/>
        </w:rPr>
        <w:t xml:space="preserve"> Bring along leaflets and/or your own business card to facilitate future contact from participants.</w:t>
      </w:r>
    </w:p>
    <w:p w14:paraId="74B4FB68" w14:textId="77777777" w:rsidR="00991947" w:rsidRDefault="00991947" w:rsidP="00341694">
      <w:pPr>
        <w:pStyle w:val="ListParagraph"/>
        <w:numPr>
          <w:ilvl w:val="0"/>
          <w:numId w:val="8"/>
        </w:numPr>
        <w:jc w:val="both"/>
        <w:rPr>
          <w:rFonts w:eastAsiaTheme="minorEastAsia"/>
        </w:rPr>
      </w:pPr>
      <w:r>
        <w:rPr>
          <w:rFonts w:eastAsiaTheme="minorEastAsia"/>
        </w:rPr>
        <w:t>Send a summary/feedback to participants once the consultation i</w:t>
      </w:r>
      <w:r w:rsidR="00C14424">
        <w:rPr>
          <w:rFonts w:eastAsiaTheme="minorEastAsia"/>
        </w:rPr>
        <w:t>s</w:t>
      </w:r>
      <w:r>
        <w:rPr>
          <w:rFonts w:eastAsiaTheme="minorEastAsia"/>
        </w:rPr>
        <w:t xml:space="preserve"> finished, preferably in the form of a written report.</w:t>
      </w:r>
    </w:p>
    <w:p w14:paraId="5E1DC3A2" w14:textId="77777777" w:rsidR="00991947" w:rsidRDefault="00991947">
      <w:pPr>
        <w:rPr>
          <w:rFonts w:eastAsiaTheme="minorEastAsia"/>
          <w:b/>
        </w:rPr>
      </w:pPr>
    </w:p>
    <w:p w14:paraId="36E70B9F" w14:textId="77777777" w:rsidR="00991947" w:rsidRDefault="00991947">
      <w:pPr>
        <w:rPr>
          <w:rFonts w:eastAsiaTheme="minorEastAsia"/>
          <w:b/>
        </w:rPr>
      </w:pPr>
    </w:p>
    <w:p w14:paraId="58B5B092" w14:textId="77777777" w:rsidR="00621798" w:rsidRPr="00621798" w:rsidRDefault="00621798" w:rsidP="00210CBA">
      <w:pPr>
        <w:pStyle w:val="Heading2"/>
        <w:rPr>
          <w:rFonts w:eastAsiaTheme="minorEastAsia"/>
        </w:rPr>
      </w:pPr>
      <w:r w:rsidRPr="00621798">
        <w:rPr>
          <w:rFonts w:eastAsiaTheme="minorEastAsia"/>
        </w:rPr>
        <w:t>References</w:t>
      </w:r>
    </w:p>
    <w:p w14:paraId="4D43BAC3" w14:textId="77777777" w:rsidR="0097077C" w:rsidRDefault="0097077C" w:rsidP="0097077C">
      <w:pPr>
        <w:spacing w:after="0"/>
        <w:rPr>
          <w:rFonts w:eastAsiaTheme="minorEastAsia"/>
        </w:rPr>
      </w:pPr>
      <w:r>
        <w:rPr>
          <w:rFonts w:eastAsiaTheme="minorEastAsia"/>
        </w:rPr>
        <w:t xml:space="preserve">Alzheimer Europe (2013). </w:t>
      </w:r>
      <w:r w:rsidRPr="00FA277C">
        <w:rPr>
          <w:rFonts w:eastAsiaTheme="minorEastAsia"/>
          <w:i/>
        </w:rPr>
        <w:t xml:space="preserve">Ethical issues </w:t>
      </w:r>
      <w:r>
        <w:rPr>
          <w:rFonts w:eastAsiaTheme="minorEastAsia"/>
          <w:i/>
        </w:rPr>
        <w:t>linked to the perceptions and portrayal of dementia and people with dementia</w:t>
      </w:r>
      <w:r>
        <w:rPr>
          <w:rFonts w:eastAsiaTheme="minorEastAsia"/>
        </w:rPr>
        <w:t xml:space="preserve">. Alzheimer Europe. Can be consulted at: </w:t>
      </w:r>
    </w:p>
    <w:p w14:paraId="3A60AFFE" w14:textId="77777777" w:rsidR="0097077C" w:rsidRDefault="00140357" w:rsidP="0097077C">
      <w:pPr>
        <w:rPr>
          <w:rFonts w:eastAsiaTheme="minorEastAsia"/>
        </w:rPr>
      </w:pPr>
      <w:hyperlink r:id="rId8" w:history="1">
        <w:r w:rsidR="0097077C" w:rsidRPr="00F901E9">
          <w:rPr>
            <w:rStyle w:val="Hyperlink"/>
            <w:rFonts w:eastAsiaTheme="minorEastAsia"/>
          </w:rPr>
          <w:t>http://www.alzheimer-europe.org/Ethics/Ethical-issues-in-practice/The-ethical-issues-linked-to-the-perceptions-and-portrayal-of-dementia-and-people-with-dementia</w:t>
        </w:r>
      </w:hyperlink>
      <w:r w:rsidR="0097077C">
        <w:rPr>
          <w:rFonts w:eastAsiaTheme="minorEastAsia"/>
        </w:rPr>
        <w:t xml:space="preserve"> </w:t>
      </w:r>
    </w:p>
    <w:p w14:paraId="2A4C855B" w14:textId="77777777" w:rsidR="00FA277C" w:rsidRDefault="00FA277C">
      <w:pPr>
        <w:rPr>
          <w:rFonts w:eastAsiaTheme="minorEastAsia"/>
        </w:rPr>
      </w:pPr>
      <w:r>
        <w:rPr>
          <w:rFonts w:eastAsiaTheme="minorEastAsia"/>
        </w:rPr>
        <w:t xml:space="preserve">Alzheimer Europe (2014). </w:t>
      </w:r>
      <w:r w:rsidRPr="00FA277C">
        <w:rPr>
          <w:rFonts w:eastAsiaTheme="minorEastAsia"/>
          <w:i/>
        </w:rPr>
        <w:t>Ethical issues faced by people with dementia and their carers</w:t>
      </w:r>
      <w:r>
        <w:rPr>
          <w:rFonts w:eastAsiaTheme="minorEastAsia"/>
        </w:rPr>
        <w:t>. Alzheimer Europe</w:t>
      </w:r>
    </w:p>
    <w:p w14:paraId="54A4C4FB" w14:textId="77777777" w:rsidR="005B13CE" w:rsidRDefault="005B13CE">
      <w:pPr>
        <w:rPr>
          <w:rFonts w:eastAsiaTheme="minorEastAsia"/>
        </w:rPr>
      </w:pPr>
      <w:r>
        <w:rPr>
          <w:rFonts w:eastAsiaTheme="minorEastAsia"/>
        </w:rPr>
        <w:t xml:space="preserve">Barbour R (2009). </w:t>
      </w:r>
      <w:r w:rsidRPr="005B13CE">
        <w:rPr>
          <w:rFonts w:eastAsiaTheme="minorEastAsia"/>
          <w:i/>
        </w:rPr>
        <w:t>Doing focus groups</w:t>
      </w:r>
      <w:r>
        <w:rPr>
          <w:rFonts w:eastAsiaTheme="minorEastAsia"/>
        </w:rPr>
        <w:t>. London: Sage Publications</w:t>
      </w:r>
    </w:p>
    <w:p w14:paraId="5025B19E" w14:textId="77777777" w:rsidR="00FA277C" w:rsidRDefault="00FA277C">
      <w:pPr>
        <w:rPr>
          <w:rFonts w:eastAsiaTheme="minorEastAsia"/>
        </w:rPr>
      </w:pPr>
      <w:r>
        <w:rPr>
          <w:rFonts w:eastAsiaTheme="minorEastAsia"/>
        </w:rPr>
        <w:t xml:space="preserve">Beauchamp </w:t>
      </w:r>
      <w:r w:rsidR="000A0DFB">
        <w:rPr>
          <w:rFonts w:eastAsiaTheme="minorEastAsia"/>
        </w:rPr>
        <w:t xml:space="preserve">TL </w:t>
      </w:r>
      <w:r>
        <w:rPr>
          <w:rFonts w:eastAsiaTheme="minorEastAsia"/>
        </w:rPr>
        <w:t xml:space="preserve">and Childress </w:t>
      </w:r>
      <w:r w:rsidR="000A0DFB">
        <w:rPr>
          <w:rFonts w:eastAsiaTheme="minorEastAsia"/>
        </w:rPr>
        <w:t>JF (</w:t>
      </w:r>
      <w:r w:rsidR="00041CB2">
        <w:rPr>
          <w:rFonts w:eastAsiaTheme="minorEastAsia"/>
        </w:rPr>
        <w:t>2008</w:t>
      </w:r>
      <w:r w:rsidR="000A0DFB">
        <w:rPr>
          <w:rFonts w:eastAsiaTheme="minorEastAsia"/>
        </w:rPr>
        <w:t xml:space="preserve">). </w:t>
      </w:r>
      <w:r w:rsidR="000A0DFB" w:rsidRPr="00041CB2">
        <w:rPr>
          <w:rFonts w:eastAsiaTheme="minorEastAsia"/>
          <w:i/>
        </w:rPr>
        <w:t>Principles of biomedical ethics</w:t>
      </w:r>
      <w:r w:rsidR="00041CB2" w:rsidRPr="00041CB2">
        <w:rPr>
          <w:rFonts w:eastAsiaTheme="minorEastAsia"/>
          <w:i/>
        </w:rPr>
        <w:t>. 6</w:t>
      </w:r>
      <w:r w:rsidR="00041CB2" w:rsidRPr="00041CB2">
        <w:rPr>
          <w:rFonts w:eastAsiaTheme="minorEastAsia"/>
          <w:i/>
          <w:vertAlign w:val="superscript"/>
        </w:rPr>
        <w:t>th</w:t>
      </w:r>
      <w:r w:rsidR="00041CB2" w:rsidRPr="00041CB2">
        <w:rPr>
          <w:rFonts w:eastAsiaTheme="minorEastAsia"/>
          <w:i/>
        </w:rPr>
        <w:t xml:space="preserve"> edition</w:t>
      </w:r>
      <w:r w:rsidR="00041CB2">
        <w:rPr>
          <w:rFonts w:eastAsiaTheme="minorEastAsia"/>
        </w:rPr>
        <w:t>.</w:t>
      </w:r>
      <w:r w:rsidR="000A0DFB">
        <w:rPr>
          <w:rFonts w:eastAsiaTheme="minorEastAsia"/>
        </w:rPr>
        <w:t xml:space="preserve"> New York: Oxford University Press</w:t>
      </w:r>
    </w:p>
    <w:p w14:paraId="511BCB78" w14:textId="77777777" w:rsidR="00041CB2" w:rsidRDefault="00041CB2">
      <w:pPr>
        <w:rPr>
          <w:rFonts w:eastAsiaTheme="minorEastAsia"/>
        </w:rPr>
      </w:pPr>
      <w:r>
        <w:rPr>
          <w:rFonts w:eastAsiaTheme="minorEastAsia"/>
        </w:rPr>
        <w:t xml:space="preserve">Buchanan AE and Brock DW (1990). </w:t>
      </w:r>
      <w:r w:rsidRPr="00041CB2">
        <w:rPr>
          <w:rFonts w:eastAsiaTheme="minorEastAsia"/>
          <w:i/>
        </w:rPr>
        <w:t>Deciding for others: the ethics of surrogate decision making</w:t>
      </w:r>
      <w:r>
        <w:rPr>
          <w:rFonts w:eastAsiaTheme="minorEastAsia"/>
        </w:rPr>
        <w:t>. Cambridge University Press</w:t>
      </w:r>
    </w:p>
    <w:p w14:paraId="3259A8F7" w14:textId="77777777" w:rsidR="00FF253F" w:rsidRDefault="00FF253F">
      <w:pPr>
        <w:rPr>
          <w:rFonts w:eastAsiaTheme="minorEastAsia"/>
        </w:rPr>
      </w:pPr>
      <w:r>
        <w:rPr>
          <w:rFonts w:eastAsiaTheme="minorEastAsia"/>
        </w:rPr>
        <w:t xml:space="preserve">Dubois JM (2008). </w:t>
      </w:r>
      <w:r w:rsidRPr="0016126E">
        <w:rPr>
          <w:rFonts w:eastAsiaTheme="minorEastAsia"/>
          <w:i/>
        </w:rPr>
        <w:t>Ethics in mental health research</w:t>
      </w:r>
      <w:r>
        <w:rPr>
          <w:rFonts w:eastAsiaTheme="minorEastAsia"/>
        </w:rPr>
        <w:t xml:space="preserve">. </w:t>
      </w:r>
      <w:r w:rsidR="0016126E">
        <w:rPr>
          <w:rFonts w:eastAsiaTheme="minorEastAsia"/>
        </w:rPr>
        <w:t>New York: Oxford University Press</w:t>
      </w:r>
    </w:p>
    <w:p w14:paraId="34B3D490" w14:textId="77777777" w:rsidR="00041CB2" w:rsidRDefault="00041CB2">
      <w:pPr>
        <w:rPr>
          <w:rFonts w:eastAsiaTheme="minorEastAsia"/>
        </w:rPr>
      </w:pPr>
      <w:r>
        <w:rPr>
          <w:rFonts w:eastAsiaTheme="minorEastAsia"/>
        </w:rPr>
        <w:t xml:space="preserve">Holzer et al. (1997). Cognitive functions in the informed consent evaluation process: a pilot study. </w:t>
      </w:r>
      <w:r w:rsidRPr="00041CB2">
        <w:rPr>
          <w:rFonts w:eastAsiaTheme="minorEastAsia"/>
          <w:i/>
        </w:rPr>
        <w:t>Journal of the American Academy of Psychiatry and Law</w:t>
      </w:r>
      <w:r>
        <w:rPr>
          <w:rFonts w:eastAsiaTheme="minorEastAsia"/>
        </w:rPr>
        <w:t>, 25, 4, 531-540</w:t>
      </w:r>
    </w:p>
    <w:p w14:paraId="71EE6111" w14:textId="77777777" w:rsidR="00FA277C" w:rsidRDefault="00FA277C">
      <w:pPr>
        <w:rPr>
          <w:rFonts w:eastAsiaTheme="minorEastAsia"/>
        </w:rPr>
      </w:pPr>
      <w:r>
        <w:rPr>
          <w:rFonts w:eastAsiaTheme="minorEastAsia"/>
        </w:rPr>
        <w:t xml:space="preserve">Kvale S and Brinkmann S (2009). </w:t>
      </w:r>
      <w:r w:rsidRPr="00FA277C">
        <w:rPr>
          <w:rFonts w:eastAsiaTheme="minorEastAsia"/>
          <w:i/>
        </w:rPr>
        <w:t>Interviews: learning the craft of qualitative research interviewing. 2</w:t>
      </w:r>
      <w:r w:rsidRPr="00FA277C">
        <w:rPr>
          <w:rFonts w:eastAsiaTheme="minorEastAsia"/>
          <w:i/>
          <w:vertAlign w:val="superscript"/>
        </w:rPr>
        <w:t>nd</w:t>
      </w:r>
      <w:r w:rsidRPr="00FA277C">
        <w:rPr>
          <w:rFonts w:eastAsiaTheme="minorEastAsia"/>
          <w:i/>
        </w:rPr>
        <w:t xml:space="preserve"> edition</w:t>
      </w:r>
      <w:r>
        <w:rPr>
          <w:rFonts w:eastAsiaTheme="minorEastAsia"/>
        </w:rPr>
        <w:t>. London: Sage Publications</w:t>
      </w:r>
    </w:p>
    <w:p w14:paraId="610EB153" w14:textId="77777777" w:rsidR="005D5FF2" w:rsidRDefault="005D5FF2">
      <w:pPr>
        <w:rPr>
          <w:rFonts w:eastAsiaTheme="minorEastAsia"/>
        </w:rPr>
      </w:pPr>
      <w:r>
        <w:rPr>
          <w:rFonts w:eastAsiaTheme="minorEastAsia"/>
        </w:rPr>
        <w:t xml:space="preserve">Mack et al. (2005). </w:t>
      </w:r>
      <w:r w:rsidR="00041CB2" w:rsidRPr="00041CB2">
        <w:rPr>
          <w:rFonts w:eastAsiaTheme="minorEastAsia"/>
          <w:i/>
        </w:rPr>
        <w:t>Qualitative research methods: a data collector´s field guide</w:t>
      </w:r>
      <w:r w:rsidR="00041CB2">
        <w:rPr>
          <w:rFonts w:eastAsiaTheme="minorEastAsia"/>
        </w:rPr>
        <w:t xml:space="preserve">. Family Health International  </w:t>
      </w:r>
    </w:p>
    <w:p w14:paraId="0BB5A994" w14:textId="77777777" w:rsidR="003C671B" w:rsidRDefault="003C671B">
      <w:pPr>
        <w:rPr>
          <w:rFonts w:eastAsiaTheme="minorEastAsia"/>
        </w:rPr>
      </w:pPr>
      <w:r>
        <w:rPr>
          <w:rFonts w:eastAsiaTheme="minorEastAsia"/>
        </w:rPr>
        <w:t xml:space="preserve">Smith MW (1995). Ethics in focus groups: a few concerns. </w:t>
      </w:r>
      <w:r w:rsidRPr="003C671B">
        <w:rPr>
          <w:rFonts w:eastAsiaTheme="minorEastAsia"/>
          <w:i/>
        </w:rPr>
        <w:t>Qualitative Health Research</w:t>
      </w:r>
      <w:r>
        <w:rPr>
          <w:rFonts w:eastAsiaTheme="minorEastAsia"/>
        </w:rPr>
        <w:t>, 5, 4, 478-486</w:t>
      </w:r>
    </w:p>
    <w:p w14:paraId="53373FDF" w14:textId="77777777" w:rsidR="00E33B95" w:rsidRDefault="00E33B95">
      <w:pPr>
        <w:rPr>
          <w:rFonts w:eastAsiaTheme="minorEastAsia"/>
        </w:rPr>
      </w:pPr>
      <w:r>
        <w:rPr>
          <w:rFonts w:eastAsiaTheme="minorEastAsia"/>
        </w:rPr>
        <w:t xml:space="preserve">World Medical Association (2000). </w:t>
      </w:r>
      <w:r w:rsidRPr="00E33B95">
        <w:rPr>
          <w:rFonts w:eastAsiaTheme="minorEastAsia"/>
          <w:i/>
        </w:rPr>
        <w:t>World Medical Association Declaration of Helsinki: Ethical principles for medical research involving human subjects</w:t>
      </w:r>
      <w:r>
        <w:rPr>
          <w:rFonts w:eastAsiaTheme="minorEastAsia"/>
        </w:rPr>
        <w:t>. Edinburgh: World Medical Association</w:t>
      </w:r>
    </w:p>
    <w:p w14:paraId="099A3531" w14:textId="4A463473" w:rsidR="00CE0CC4" w:rsidRDefault="00CE0CC4">
      <w:pPr>
        <w:rPr>
          <w:rFonts w:eastAsiaTheme="minorEastAsia"/>
        </w:rPr>
      </w:pPr>
    </w:p>
    <w:p w14:paraId="5F92FE79" w14:textId="77777777" w:rsidR="00210CBA" w:rsidRDefault="00210CBA" w:rsidP="00210CBA">
      <w:pPr>
        <w:pStyle w:val="Heading2"/>
        <w:rPr>
          <w:rFonts w:eastAsia="Times New Roman"/>
        </w:rPr>
      </w:pPr>
      <w:r>
        <w:rPr>
          <w:rFonts w:eastAsia="Times New Roman"/>
        </w:rPr>
        <w:t xml:space="preserve">With thanks to: </w:t>
      </w:r>
    </w:p>
    <w:p w14:paraId="253943AC" w14:textId="6D74F927" w:rsidR="00210CBA" w:rsidRDefault="00210CBA" w:rsidP="00210CBA">
      <w:pPr>
        <w:rPr>
          <w:rFonts w:eastAsia="Times New Roman" w:cs="Helvetica"/>
          <w:szCs w:val="20"/>
        </w:rPr>
      </w:pPr>
      <w:r>
        <w:rPr>
          <w:rFonts w:eastAsia="Times New Roman" w:cs="Helvetica"/>
          <w:szCs w:val="20"/>
        </w:rPr>
        <w:t xml:space="preserve">The </w:t>
      </w:r>
      <w:r w:rsidRPr="009F0055">
        <w:t>European Commission, H2020</w:t>
      </w:r>
      <w:r>
        <w:t xml:space="preserve"> program</w:t>
      </w:r>
      <w:r>
        <w:t xml:space="preserve"> and</w:t>
      </w:r>
    </w:p>
    <w:p w14:paraId="774E653C" w14:textId="494D0266" w:rsidR="00210CBA" w:rsidRPr="00210CBA" w:rsidRDefault="00210CBA" w:rsidP="00210CBA">
      <w:pPr>
        <w:pStyle w:val="ListParagraph"/>
        <w:numPr>
          <w:ilvl w:val="0"/>
          <w:numId w:val="11"/>
        </w:numPr>
        <w:spacing w:after="200" w:line="276" w:lineRule="auto"/>
        <w:rPr>
          <w:rFonts w:eastAsia="Times New Roman" w:cs="Helvetica"/>
          <w:szCs w:val="20"/>
        </w:rPr>
      </w:pPr>
      <w:r>
        <w:rPr>
          <w:rFonts w:eastAsiaTheme="minorEastAsia"/>
        </w:rPr>
        <w:t xml:space="preserve">Alzheimer Europe </w:t>
      </w:r>
      <w:r>
        <w:rPr>
          <w:rFonts w:eastAsiaTheme="minorEastAsia"/>
        </w:rPr>
        <w:t>- Brussels</w:t>
      </w:r>
    </w:p>
    <w:p w14:paraId="20E5F48E" w14:textId="6713A283" w:rsidR="00210CBA" w:rsidRPr="00626C6E" w:rsidRDefault="00210CBA" w:rsidP="00210CBA">
      <w:pPr>
        <w:pStyle w:val="ListParagraph"/>
        <w:numPr>
          <w:ilvl w:val="0"/>
          <w:numId w:val="11"/>
        </w:numPr>
        <w:spacing w:after="200" w:line="276" w:lineRule="auto"/>
        <w:rPr>
          <w:rFonts w:eastAsia="Times New Roman" w:cs="Helvetica"/>
          <w:szCs w:val="20"/>
        </w:rPr>
      </w:pPr>
      <w:r w:rsidRPr="00626C6E">
        <w:rPr>
          <w:rFonts w:eastAsia="Times New Roman" w:cs="Helvetica"/>
          <w:szCs w:val="20"/>
        </w:rPr>
        <w:t>Anglia Ruskin - England</w:t>
      </w:r>
    </w:p>
    <w:p w14:paraId="30E3A19C" w14:textId="77777777" w:rsidR="00210CBA" w:rsidRPr="00626C6E" w:rsidRDefault="00210CBA" w:rsidP="00210CBA">
      <w:pPr>
        <w:pStyle w:val="ListParagraph"/>
        <w:numPr>
          <w:ilvl w:val="0"/>
          <w:numId w:val="11"/>
        </w:numPr>
        <w:spacing w:after="200" w:line="276" w:lineRule="auto"/>
        <w:rPr>
          <w:rFonts w:eastAsia="Times New Roman" w:cs="Helvetica"/>
          <w:szCs w:val="20"/>
        </w:rPr>
      </w:pPr>
      <w:r w:rsidRPr="00626C6E">
        <w:rPr>
          <w:rFonts w:eastAsia="Times New Roman" w:cs="Helvetica"/>
          <w:szCs w:val="20"/>
        </w:rPr>
        <w:t xml:space="preserve">Athena ICT Limited </w:t>
      </w:r>
      <w:proofErr w:type="gramStart"/>
      <w:r w:rsidRPr="00626C6E">
        <w:rPr>
          <w:rFonts w:eastAsia="Times New Roman" w:cs="Helvetica"/>
          <w:szCs w:val="20"/>
        </w:rPr>
        <w:t>-  Israel</w:t>
      </w:r>
      <w:proofErr w:type="gramEnd"/>
    </w:p>
    <w:p w14:paraId="27BBB617" w14:textId="77777777" w:rsidR="00210CBA" w:rsidRPr="00626C6E" w:rsidRDefault="00210CBA" w:rsidP="00210CBA">
      <w:pPr>
        <w:pStyle w:val="ListParagraph"/>
        <w:numPr>
          <w:ilvl w:val="0"/>
          <w:numId w:val="11"/>
        </w:numPr>
        <w:spacing w:after="200" w:line="276" w:lineRule="auto"/>
        <w:rPr>
          <w:rFonts w:eastAsia="Times New Roman" w:cs="Helvetica"/>
          <w:szCs w:val="20"/>
        </w:rPr>
      </w:pPr>
      <w:r w:rsidRPr="00626C6E">
        <w:rPr>
          <w:rFonts w:eastAsia="Times New Roman" w:cs="Helvetica"/>
          <w:szCs w:val="20"/>
        </w:rPr>
        <w:lastRenderedPageBreak/>
        <w:t xml:space="preserve">Blekinge Tekniska Hogskola - Sweden </w:t>
      </w:r>
    </w:p>
    <w:p w14:paraId="674550B8" w14:textId="77777777" w:rsidR="00210CBA" w:rsidRPr="00626C6E" w:rsidRDefault="00210CBA" w:rsidP="00210CBA">
      <w:pPr>
        <w:pStyle w:val="ListParagraph"/>
        <w:numPr>
          <w:ilvl w:val="0"/>
          <w:numId w:val="11"/>
        </w:numPr>
        <w:spacing w:after="200" w:line="276" w:lineRule="auto"/>
        <w:rPr>
          <w:rFonts w:eastAsia="Times New Roman" w:cs="Helvetica"/>
          <w:szCs w:val="20"/>
        </w:rPr>
      </w:pPr>
      <w:r w:rsidRPr="00626C6E">
        <w:rPr>
          <w:rFonts w:eastAsia="Times New Roman" w:cs="Helvetica"/>
          <w:szCs w:val="20"/>
        </w:rPr>
        <w:t>Consorci Sanitari De Terrassa - Spain</w:t>
      </w:r>
    </w:p>
    <w:p w14:paraId="69367DCE" w14:textId="77777777" w:rsidR="00210CBA" w:rsidRPr="00626C6E" w:rsidRDefault="00210CBA" w:rsidP="00210CBA">
      <w:pPr>
        <w:pStyle w:val="ListParagraph"/>
        <w:numPr>
          <w:ilvl w:val="0"/>
          <w:numId w:val="11"/>
        </w:numPr>
        <w:spacing w:after="200" w:line="276" w:lineRule="auto"/>
        <w:rPr>
          <w:rFonts w:eastAsia="Times New Roman" w:cs="Helvetica"/>
          <w:szCs w:val="20"/>
        </w:rPr>
      </w:pPr>
      <w:r w:rsidRPr="00626C6E">
        <w:rPr>
          <w:rFonts w:eastAsia="Times New Roman" w:cs="Helvetica"/>
          <w:szCs w:val="20"/>
        </w:rPr>
        <w:t>Dex Innovation Centre - Czech Republic</w:t>
      </w:r>
    </w:p>
    <w:p w14:paraId="6A85354E" w14:textId="77777777" w:rsidR="00210CBA" w:rsidRPr="00626C6E" w:rsidRDefault="00210CBA" w:rsidP="00210CBA">
      <w:pPr>
        <w:pStyle w:val="ListParagraph"/>
        <w:numPr>
          <w:ilvl w:val="0"/>
          <w:numId w:val="11"/>
        </w:numPr>
        <w:spacing w:after="200" w:line="276" w:lineRule="auto"/>
        <w:rPr>
          <w:rFonts w:eastAsia="Times New Roman" w:cs="Helvetica"/>
          <w:szCs w:val="20"/>
        </w:rPr>
      </w:pPr>
      <w:r w:rsidRPr="00626C6E">
        <w:rPr>
          <w:rFonts w:eastAsia="Times New Roman" w:cs="Helvetica"/>
          <w:szCs w:val="20"/>
        </w:rPr>
        <w:t>Healthbit - United Kingdom</w:t>
      </w:r>
    </w:p>
    <w:p w14:paraId="135AD9A4" w14:textId="77777777" w:rsidR="00210CBA" w:rsidRPr="00626C6E" w:rsidRDefault="00210CBA" w:rsidP="00210CBA">
      <w:pPr>
        <w:pStyle w:val="ListParagraph"/>
        <w:numPr>
          <w:ilvl w:val="0"/>
          <w:numId w:val="11"/>
        </w:numPr>
        <w:spacing w:after="200" w:line="276" w:lineRule="auto"/>
        <w:rPr>
          <w:rFonts w:eastAsia="Times New Roman" w:cs="Helvetica"/>
          <w:szCs w:val="20"/>
        </w:rPr>
      </w:pPr>
      <w:r w:rsidRPr="00626C6E">
        <w:rPr>
          <w:rFonts w:eastAsia="Times New Roman" w:cs="Helvetica"/>
          <w:szCs w:val="20"/>
        </w:rPr>
        <w:t>Servicio Andaluz De Salud-Instituto De Investigacion Biomedica De Malaga (Andalusian Health Institute – Health Research Institute of Malaga) SAS-IBIMA - Spain</w:t>
      </w:r>
    </w:p>
    <w:p w14:paraId="1F5C1610" w14:textId="77777777" w:rsidR="00210CBA" w:rsidRPr="00626C6E" w:rsidRDefault="00210CBA" w:rsidP="00210CBA">
      <w:pPr>
        <w:pStyle w:val="ListParagraph"/>
        <w:numPr>
          <w:ilvl w:val="0"/>
          <w:numId w:val="11"/>
        </w:numPr>
        <w:spacing w:after="200" w:line="276" w:lineRule="auto"/>
        <w:rPr>
          <w:rFonts w:eastAsia="Times New Roman" w:cs="Helvetica"/>
          <w:szCs w:val="20"/>
        </w:rPr>
      </w:pPr>
      <w:r w:rsidRPr="00626C6E">
        <w:rPr>
          <w:rFonts w:eastAsia="Times New Roman" w:cs="Helvetica"/>
          <w:szCs w:val="20"/>
        </w:rPr>
        <w:t>UC Limburg - Belgium</w:t>
      </w:r>
    </w:p>
    <w:p w14:paraId="2AC7211B" w14:textId="77777777" w:rsidR="00210CBA" w:rsidRPr="00626C6E" w:rsidRDefault="00210CBA" w:rsidP="00210CBA">
      <w:pPr>
        <w:pStyle w:val="ListParagraph"/>
        <w:numPr>
          <w:ilvl w:val="0"/>
          <w:numId w:val="11"/>
        </w:numPr>
        <w:spacing w:after="200" w:line="276" w:lineRule="auto"/>
        <w:rPr>
          <w:rFonts w:eastAsia="Times New Roman" w:cs="Helvetica"/>
          <w:szCs w:val="20"/>
        </w:rPr>
      </w:pPr>
      <w:r w:rsidRPr="00626C6E">
        <w:rPr>
          <w:rFonts w:eastAsia="Times New Roman" w:cs="Helvetica"/>
          <w:szCs w:val="20"/>
        </w:rPr>
        <w:t>Universidad Politecnica De Madrid - Spain</w:t>
      </w:r>
    </w:p>
    <w:p w14:paraId="02570622" w14:textId="77777777" w:rsidR="00210CBA" w:rsidRDefault="00210CBA">
      <w:pPr>
        <w:rPr>
          <w:rFonts w:eastAsiaTheme="minorEastAsia"/>
        </w:rPr>
      </w:pPr>
    </w:p>
    <w:sectPr w:rsidR="00210CB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85EB7" w14:textId="77777777" w:rsidR="00140357" w:rsidRDefault="00140357" w:rsidP="00332A2A">
      <w:pPr>
        <w:spacing w:after="0" w:line="240" w:lineRule="auto"/>
      </w:pPr>
      <w:r>
        <w:separator/>
      </w:r>
    </w:p>
  </w:endnote>
  <w:endnote w:type="continuationSeparator" w:id="0">
    <w:p w14:paraId="0758C56F" w14:textId="77777777" w:rsidR="00140357" w:rsidRDefault="00140357" w:rsidP="0033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108482"/>
      <w:docPartObj>
        <w:docPartGallery w:val="Page Numbers (Bottom of Page)"/>
        <w:docPartUnique/>
      </w:docPartObj>
    </w:sdtPr>
    <w:sdtEndPr>
      <w:rPr>
        <w:noProof/>
      </w:rPr>
    </w:sdtEndPr>
    <w:sdtContent>
      <w:p w14:paraId="35A616DB" w14:textId="77777777" w:rsidR="00332A2A" w:rsidRDefault="00332A2A">
        <w:pPr>
          <w:pStyle w:val="Footer"/>
          <w:jc w:val="right"/>
        </w:pPr>
        <w:r>
          <w:fldChar w:fldCharType="begin"/>
        </w:r>
        <w:r>
          <w:instrText xml:space="preserve"> PAGE   \* MERGEFORMAT </w:instrText>
        </w:r>
        <w:r>
          <w:fldChar w:fldCharType="separate"/>
        </w:r>
        <w:r w:rsidR="008E5268">
          <w:rPr>
            <w:noProof/>
          </w:rPr>
          <w:t>1</w:t>
        </w:r>
        <w:r>
          <w:rPr>
            <w:noProof/>
          </w:rPr>
          <w:fldChar w:fldCharType="end"/>
        </w:r>
      </w:p>
    </w:sdtContent>
  </w:sdt>
  <w:p w14:paraId="3FC78F3F" w14:textId="77777777" w:rsidR="00332A2A" w:rsidRDefault="0033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7EC7C" w14:textId="77777777" w:rsidR="00140357" w:rsidRDefault="00140357" w:rsidP="00332A2A">
      <w:pPr>
        <w:spacing w:after="0" w:line="240" w:lineRule="auto"/>
      </w:pPr>
      <w:r>
        <w:separator/>
      </w:r>
    </w:p>
  </w:footnote>
  <w:footnote w:type="continuationSeparator" w:id="0">
    <w:p w14:paraId="60674AF2" w14:textId="77777777" w:rsidR="00140357" w:rsidRDefault="00140357" w:rsidP="00332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83B69"/>
    <w:multiLevelType w:val="hybridMultilevel"/>
    <w:tmpl w:val="C338E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37CF9"/>
    <w:multiLevelType w:val="hybridMultilevel"/>
    <w:tmpl w:val="754A1564"/>
    <w:lvl w:ilvl="0" w:tplc="EC6EF8D8">
      <w:start w:val="1"/>
      <w:numFmt w:val="bullet"/>
      <w:lvlText w:val=""/>
      <w:lvlJc w:val="left"/>
      <w:pPr>
        <w:ind w:left="360" w:hanging="360"/>
      </w:pPr>
      <w:rPr>
        <w:rFonts w:ascii="Webdings" w:hAnsi="Web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CA60AC"/>
    <w:multiLevelType w:val="hybridMultilevel"/>
    <w:tmpl w:val="DB8AC7F6"/>
    <w:lvl w:ilvl="0" w:tplc="EC6EF8D8">
      <w:start w:val="1"/>
      <w:numFmt w:val="bullet"/>
      <w:lvlText w:val=""/>
      <w:lvlJc w:val="left"/>
      <w:pPr>
        <w:ind w:left="360" w:hanging="360"/>
      </w:pPr>
      <w:rPr>
        <w:rFonts w:ascii="Webdings" w:hAnsi="Web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0E545E"/>
    <w:multiLevelType w:val="hybridMultilevel"/>
    <w:tmpl w:val="DABA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B0B42"/>
    <w:multiLevelType w:val="hybridMultilevel"/>
    <w:tmpl w:val="033C5A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D42B99"/>
    <w:multiLevelType w:val="hybridMultilevel"/>
    <w:tmpl w:val="77BE5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B931BE"/>
    <w:multiLevelType w:val="hybridMultilevel"/>
    <w:tmpl w:val="27B0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C1C9C"/>
    <w:multiLevelType w:val="hybridMultilevel"/>
    <w:tmpl w:val="86E8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B154B"/>
    <w:multiLevelType w:val="hybridMultilevel"/>
    <w:tmpl w:val="410E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515C11"/>
    <w:multiLevelType w:val="hybridMultilevel"/>
    <w:tmpl w:val="7B40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363BE"/>
    <w:multiLevelType w:val="hybridMultilevel"/>
    <w:tmpl w:val="570E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8"/>
  </w:num>
  <w:num w:numId="5">
    <w:abstractNumId w:val="4"/>
  </w:num>
  <w:num w:numId="6">
    <w:abstractNumId w:val="9"/>
  </w:num>
  <w:num w:numId="7">
    <w:abstractNumId w:val="1"/>
  </w:num>
  <w:num w:numId="8">
    <w:abstractNumId w:val="2"/>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88A"/>
    <w:rsid w:val="00006D41"/>
    <w:rsid w:val="00041CB2"/>
    <w:rsid w:val="000640E1"/>
    <w:rsid w:val="00070231"/>
    <w:rsid w:val="000A0DFB"/>
    <w:rsid w:val="000A1369"/>
    <w:rsid w:val="00111C5E"/>
    <w:rsid w:val="00125348"/>
    <w:rsid w:val="0012743F"/>
    <w:rsid w:val="00140357"/>
    <w:rsid w:val="0016126E"/>
    <w:rsid w:val="001B25E1"/>
    <w:rsid w:val="001C0142"/>
    <w:rsid w:val="001D08C0"/>
    <w:rsid w:val="001D49A7"/>
    <w:rsid w:val="00206C07"/>
    <w:rsid w:val="00210CBA"/>
    <w:rsid w:val="00230B5C"/>
    <w:rsid w:val="00231625"/>
    <w:rsid w:val="002410B4"/>
    <w:rsid w:val="00243D44"/>
    <w:rsid w:val="00247E52"/>
    <w:rsid w:val="002662CD"/>
    <w:rsid w:val="00271321"/>
    <w:rsid w:val="002961F6"/>
    <w:rsid w:val="0030020E"/>
    <w:rsid w:val="00322D53"/>
    <w:rsid w:val="0032559B"/>
    <w:rsid w:val="00332A2A"/>
    <w:rsid w:val="00337517"/>
    <w:rsid w:val="00341694"/>
    <w:rsid w:val="00350C5F"/>
    <w:rsid w:val="0039224E"/>
    <w:rsid w:val="003C1169"/>
    <w:rsid w:val="003C671B"/>
    <w:rsid w:val="003D5645"/>
    <w:rsid w:val="003F1CFB"/>
    <w:rsid w:val="00421465"/>
    <w:rsid w:val="00474AEA"/>
    <w:rsid w:val="00484CC7"/>
    <w:rsid w:val="004864CE"/>
    <w:rsid w:val="00492CB9"/>
    <w:rsid w:val="004941B9"/>
    <w:rsid w:val="004D0DD8"/>
    <w:rsid w:val="004E2250"/>
    <w:rsid w:val="00505EDC"/>
    <w:rsid w:val="0052171E"/>
    <w:rsid w:val="005312A3"/>
    <w:rsid w:val="00532FC5"/>
    <w:rsid w:val="0053378E"/>
    <w:rsid w:val="00547884"/>
    <w:rsid w:val="00566B55"/>
    <w:rsid w:val="0057325D"/>
    <w:rsid w:val="00583CB0"/>
    <w:rsid w:val="005A0BE4"/>
    <w:rsid w:val="005B13CE"/>
    <w:rsid w:val="005B7C21"/>
    <w:rsid w:val="005C088A"/>
    <w:rsid w:val="005D5FF2"/>
    <w:rsid w:val="005E3A04"/>
    <w:rsid w:val="005E450C"/>
    <w:rsid w:val="00602A45"/>
    <w:rsid w:val="00612099"/>
    <w:rsid w:val="006215E2"/>
    <w:rsid w:val="00621798"/>
    <w:rsid w:val="00641F01"/>
    <w:rsid w:val="00645EEC"/>
    <w:rsid w:val="006613D7"/>
    <w:rsid w:val="00663B4A"/>
    <w:rsid w:val="0068418D"/>
    <w:rsid w:val="00695662"/>
    <w:rsid w:val="006B031B"/>
    <w:rsid w:val="006D573D"/>
    <w:rsid w:val="00735DC1"/>
    <w:rsid w:val="007369A6"/>
    <w:rsid w:val="007432B8"/>
    <w:rsid w:val="0074442C"/>
    <w:rsid w:val="00747292"/>
    <w:rsid w:val="007525F1"/>
    <w:rsid w:val="0076166A"/>
    <w:rsid w:val="00784372"/>
    <w:rsid w:val="0079234D"/>
    <w:rsid w:val="00793DEA"/>
    <w:rsid w:val="007C1423"/>
    <w:rsid w:val="007C49C2"/>
    <w:rsid w:val="007D0397"/>
    <w:rsid w:val="007D347B"/>
    <w:rsid w:val="007E4FA7"/>
    <w:rsid w:val="007F39C5"/>
    <w:rsid w:val="00804F30"/>
    <w:rsid w:val="008112D9"/>
    <w:rsid w:val="00867278"/>
    <w:rsid w:val="00875F18"/>
    <w:rsid w:val="00877F2E"/>
    <w:rsid w:val="008E24C8"/>
    <w:rsid w:val="008E5268"/>
    <w:rsid w:val="00912A05"/>
    <w:rsid w:val="00915457"/>
    <w:rsid w:val="00953264"/>
    <w:rsid w:val="009539EF"/>
    <w:rsid w:val="00955E5C"/>
    <w:rsid w:val="0097077C"/>
    <w:rsid w:val="00982287"/>
    <w:rsid w:val="00985031"/>
    <w:rsid w:val="00991947"/>
    <w:rsid w:val="00997E16"/>
    <w:rsid w:val="009A0AD4"/>
    <w:rsid w:val="009B1778"/>
    <w:rsid w:val="009D488A"/>
    <w:rsid w:val="009D59F1"/>
    <w:rsid w:val="009D676A"/>
    <w:rsid w:val="009D7B26"/>
    <w:rsid w:val="009E1E95"/>
    <w:rsid w:val="00A117BB"/>
    <w:rsid w:val="00A120E7"/>
    <w:rsid w:val="00A42781"/>
    <w:rsid w:val="00A66710"/>
    <w:rsid w:val="00A81879"/>
    <w:rsid w:val="00AE22DB"/>
    <w:rsid w:val="00AE7964"/>
    <w:rsid w:val="00B003B5"/>
    <w:rsid w:val="00B14B77"/>
    <w:rsid w:val="00B42CA0"/>
    <w:rsid w:val="00B554EA"/>
    <w:rsid w:val="00B75E52"/>
    <w:rsid w:val="00B82A1F"/>
    <w:rsid w:val="00B912B3"/>
    <w:rsid w:val="00BA5698"/>
    <w:rsid w:val="00BA5F52"/>
    <w:rsid w:val="00BB46C5"/>
    <w:rsid w:val="00BD47D6"/>
    <w:rsid w:val="00BD7049"/>
    <w:rsid w:val="00C14424"/>
    <w:rsid w:val="00C209E4"/>
    <w:rsid w:val="00C35726"/>
    <w:rsid w:val="00C62A10"/>
    <w:rsid w:val="00C65BB8"/>
    <w:rsid w:val="00C74FB7"/>
    <w:rsid w:val="00C84160"/>
    <w:rsid w:val="00C85362"/>
    <w:rsid w:val="00C87FC6"/>
    <w:rsid w:val="00C97D4B"/>
    <w:rsid w:val="00CA0E87"/>
    <w:rsid w:val="00CA1C29"/>
    <w:rsid w:val="00CA4B23"/>
    <w:rsid w:val="00CB2170"/>
    <w:rsid w:val="00CE0CC4"/>
    <w:rsid w:val="00D01BD4"/>
    <w:rsid w:val="00D127FB"/>
    <w:rsid w:val="00D43A8A"/>
    <w:rsid w:val="00D67203"/>
    <w:rsid w:val="00D81EB1"/>
    <w:rsid w:val="00DC0D5F"/>
    <w:rsid w:val="00DC14C7"/>
    <w:rsid w:val="00DC211A"/>
    <w:rsid w:val="00DD44EF"/>
    <w:rsid w:val="00E138E0"/>
    <w:rsid w:val="00E33B95"/>
    <w:rsid w:val="00E37158"/>
    <w:rsid w:val="00E43842"/>
    <w:rsid w:val="00E636FE"/>
    <w:rsid w:val="00E915D7"/>
    <w:rsid w:val="00E91B5B"/>
    <w:rsid w:val="00E93285"/>
    <w:rsid w:val="00ED7100"/>
    <w:rsid w:val="00EF353A"/>
    <w:rsid w:val="00F01C3D"/>
    <w:rsid w:val="00F04FA1"/>
    <w:rsid w:val="00F1584E"/>
    <w:rsid w:val="00F30D43"/>
    <w:rsid w:val="00F51DA1"/>
    <w:rsid w:val="00F529AE"/>
    <w:rsid w:val="00F612F3"/>
    <w:rsid w:val="00FA277C"/>
    <w:rsid w:val="00FA517F"/>
    <w:rsid w:val="00FB641D"/>
    <w:rsid w:val="00FC7696"/>
    <w:rsid w:val="00FE10E1"/>
    <w:rsid w:val="00FF253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0930"/>
  <w15:docId w15:val="{6161CDF2-2800-4510-9B4B-4C035BFC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88A"/>
  </w:style>
  <w:style w:type="paragraph" w:styleId="Heading1">
    <w:name w:val="heading 1"/>
    <w:basedOn w:val="Normal"/>
    <w:next w:val="Normal"/>
    <w:link w:val="Heading1Char"/>
    <w:uiPriority w:val="9"/>
    <w:qFormat/>
    <w:rsid w:val="00210C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14C7"/>
    <w:pPr>
      <w:keepNext/>
      <w:keepLines/>
      <w:spacing w:before="120" w:after="0" w:line="240" w:lineRule="auto"/>
      <w:outlineLvl w:val="1"/>
    </w:pPr>
    <w:rPr>
      <w:rFonts w:asciiTheme="majorHAnsi" w:eastAsiaTheme="majorEastAsia" w:hAnsiTheme="majorHAnsi" w:cstheme="majorBidi"/>
      <w:color w:val="ED7D31" w:themeColor="accent2"/>
      <w:sz w:val="36"/>
      <w:szCs w:val="36"/>
      <w:lang w:eastAsia="en-GB"/>
    </w:rPr>
  </w:style>
  <w:style w:type="paragraph" w:styleId="Heading3">
    <w:name w:val="heading 3"/>
    <w:basedOn w:val="Normal"/>
    <w:next w:val="Normal"/>
    <w:link w:val="Heading3Char"/>
    <w:uiPriority w:val="9"/>
    <w:unhideWhenUsed/>
    <w:qFormat/>
    <w:rsid w:val="00210C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88A"/>
    <w:pPr>
      <w:ind w:left="720"/>
      <w:contextualSpacing/>
    </w:pPr>
  </w:style>
  <w:style w:type="paragraph" w:styleId="NormalWeb">
    <w:name w:val="Normal (Web)"/>
    <w:basedOn w:val="Normal"/>
    <w:uiPriority w:val="99"/>
    <w:unhideWhenUsed/>
    <w:rsid w:val="002961F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2Char">
    <w:name w:val="Heading 2 Char"/>
    <w:basedOn w:val="DefaultParagraphFont"/>
    <w:link w:val="Heading2"/>
    <w:uiPriority w:val="9"/>
    <w:rsid w:val="00DC14C7"/>
    <w:rPr>
      <w:rFonts w:asciiTheme="majorHAnsi" w:eastAsiaTheme="majorEastAsia" w:hAnsiTheme="majorHAnsi" w:cstheme="majorBidi"/>
      <w:color w:val="ED7D31" w:themeColor="accent2"/>
      <w:sz w:val="36"/>
      <w:szCs w:val="36"/>
      <w:lang w:eastAsia="en-GB"/>
    </w:rPr>
  </w:style>
  <w:style w:type="character" w:styleId="PlaceholderText">
    <w:name w:val="Placeholder Text"/>
    <w:basedOn w:val="DefaultParagraphFont"/>
    <w:uiPriority w:val="99"/>
    <w:semiHidden/>
    <w:rsid w:val="00747292"/>
    <w:rPr>
      <w:color w:val="808080"/>
    </w:rPr>
  </w:style>
  <w:style w:type="paragraph" w:styleId="Header">
    <w:name w:val="header"/>
    <w:basedOn w:val="Normal"/>
    <w:link w:val="HeaderChar"/>
    <w:uiPriority w:val="99"/>
    <w:unhideWhenUsed/>
    <w:rsid w:val="00332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A2A"/>
  </w:style>
  <w:style w:type="paragraph" w:styleId="Footer">
    <w:name w:val="footer"/>
    <w:basedOn w:val="Normal"/>
    <w:link w:val="FooterChar"/>
    <w:uiPriority w:val="99"/>
    <w:unhideWhenUsed/>
    <w:rsid w:val="00332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A2A"/>
  </w:style>
  <w:style w:type="character" w:styleId="Hyperlink">
    <w:name w:val="Hyperlink"/>
    <w:basedOn w:val="DefaultParagraphFont"/>
    <w:uiPriority w:val="99"/>
    <w:unhideWhenUsed/>
    <w:rsid w:val="0097077C"/>
    <w:rPr>
      <w:color w:val="0563C1" w:themeColor="hyperlink"/>
      <w:u w:val="single"/>
    </w:rPr>
  </w:style>
  <w:style w:type="paragraph" w:styleId="BalloonText">
    <w:name w:val="Balloon Text"/>
    <w:basedOn w:val="Normal"/>
    <w:link w:val="BalloonTextChar"/>
    <w:uiPriority w:val="99"/>
    <w:semiHidden/>
    <w:unhideWhenUsed/>
    <w:rsid w:val="00CA1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C29"/>
    <w:rPr>
      <w:rFonts w:ascii="Segoe UI" w:hAnsi="Segoe UI" w:cs="Segoe UI"/>
      <w:sz w:val="18"/>
      <w:szCs w:val="18"/>
    </w:rPr>
  </w:style>
  <w:style w:type="character" w:styleId="CommentReference">
    <w:name w:val="annotation reference"/>
    <w:basedOn w:val="DefaultParagraphFont"/>
    <w:uiPriority w:val="99"/>
    <w:semiHidden/>
    <w:unhideWhenUsed/>
    <w:rsid w:val="008E5268"/>
    <w:rPr>
      <w:sz w:val="16"/>
      <w:szCs w:val="16"/>
    </w:rPr>
  </w:style>
  <w:style w:type="paragraph" w:styleId="CommentText">
    <w:name w:val="annotation text"/>
    <w:basedOn w:val="Normal"/>
    <w:link w:val="CommentTextChar"/>
    <w:uiPriority w:val="99"/>
    <w:semiHidden/>
    <w:unhideWhenUsed/>
    <w:rsid w:val="008E5268"/>
    <w:pPr>
      <w:spacing w:line="240" w:lineRule="auto"/>
    </w:pPr>
    <w:rPr>
      <w:sz w:val="20"/>
      <w:szCs w:val="20"/>
    </w:rPr>
  </w:style>
  <w:style w:type="character" w:customStyle="1" w:styleId="CommentTextChar">
    <w:name w:val="Comment Text Char"/>
    <w:basedOn w:val="DefaultParagraphFont"/>
    <w:link w:val="CommentText"/>
    <w:uiPriority w:val="99"/>
    <w:semiHidden/>
    <w:rsid w:val="008E5268"/>
    <w:rPr>
      <w:sz w:val="20"/>
      <w:szCs w:val="20"/>
    </w:rPr>
  </w:style>
  <w:style w:type="paragraph" w:styleId="CommentSubject">
    <w:name w:val="annotation subject"/>
    <w:basedOn w:val="CommentText"/>
    <w:next w:val="CommentText"/>
    <w:link w:val="CommentSubjectChar"/>
    <w:uiPriority w:val="99"/>
    <w:semiHidden/>
    <w:unhideWhenUsed/>
    <w:rsid w:val="008E5268"/>
    <w:rPr>
      <w:b/>
      <w:bCs/>
    </w:rPr>
  </w:style>
  <w:style w:type="character" w:customStyle="1" w:styleId="CommentSubjectChar">
    <w:name w:val="Comment Subject Char"/>
    <w:basedOn w:val="CommentTextChar"/>
    <w:link w:val="CommentSubject"/>
    <w:uiPriority w:val="99"/>
    <w:semiHidden/>
    <w:rsid w:val="008E5268"/>
    <w:rPr>
      <w:b/>
      <w:bCs/>
      <w:sz w:val="20"/>
      <w:szCs w:val="20"/>
    </w:rPr>
  </w:style>
  <w:style w:type="paragraph" w:styleId="Revision">
    <w:name w:val="Revision"/>
    <w:hidden/>
    <w:uiPriority w:val="99"/>
    <w:semiHidden/>
    <w:rsid w:val="00210CBA"/>
    <w:pPr>
      <w:spacing w:after="0" w:line="240" w:lineRule="auto"/>
    </w:pPr>
  </w:style>
  <w:style w:type="character" w:customStyle="1" w:styleId="Heading1Char">
    <w:name w:val="Heading 1 Char"/>
    <w:basedOn w:val="DefaultParagraphFont"/>
    <w:link w:val="Heading1"/>
    <w:uiPriority w:val="9"/>
    <w:rsid w:val="00210CB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10C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zheimer-europe.org/Ethics/Ethical-issues-in-practice/The-ethical-issues-linked-to-the-perceptions-and-portrayal-of-dementia-and-people-with-dement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95D697F2-D343-487B-A36F-AB90A77E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2402</Words>
  <Characters>13695</Characters>
  <Application>Microsoft Office Word</Application>
  <DocSecurity>0</DocSecurity>
  <Lines>114</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cp:lastModifiedBy>
  <cp:revision>8</cp:revision>
  <cp:lastPrinted>2015-10-12T15:45:00Z</cp:lastPrinted>
  <dcterms:created xsi:type="dcterms:W3CDTF">2019-11-04T15:18:00Z</dcterms:created>
  <dcterms:modified xsi:type="dcterms:W3CDTF">2019-11-04T15:56:00Z</dcterms:modified>
</cp:coreProperties>
</file>