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2258" w14:textId="10CBB37B" w:rsidR="007D2926" w:rsidRDefault="007D2926" w:rsidP="00F4743C">
      <w:pPr>
        <w:jc w:val="both"/>
        <w:rPr>
          <w:rFonts w:cs="Arial"/>
          <w:b/>
          <w:bCs/>
        </w:rPr>
      </w:pPr>
    </w:p>
    <w:p w14:paraId="71B12E2D" w14:textId="5AC1ADE1" w:rsidR="008017A3" w:rsidRDefault="008017A3" w:rsidP="00F4743C">
      <w:pPr>
        <w:jc w:val="both"/>
        <w:rPr>
          <w:rFonts w:cs="Arial"/>
          <w:b/>
          <w:bCs/>
        </w:rPr>
      </w:pPr>
    </w:p>
    <w:p w14:paraId="2B7D2253" w14:textId="07B9910A" w:rsidR="008017A3" w:rsidRDefault="004834FB" w:rsidP="008017A3">
      <w:pPr>
        <w:rPr>
          <w:sz w:val="22"/>
          <w:szCs w:val="22"/>
          <w:lang w:val="es-ES"/>
        </w:rPr>
      </w:pPr>
      <w:r>
        <w:t>VERSIÓ TRADUÏDA</w:t>
      </w:r>
      <w:bookmarkStart w:id="0" w:name="_GoBack"/>
      <w:bookmarkEnd w:id="0"/>
      <w:r w:rsidR="008017A3">
        <w:t xml:space="preserve"> AL CATALÀ:</w:t>
      </w:r>
    </w:p>
    <w:p w14:paraId="7A9A8D96" w14:textId="77777777" w:rsidR="008017A3" w:rsidRDefault="008017A3" w:rsidP="008017A3">
      <w:pPr>
        <w:rPr>
          <w:rFonts w:ascii="Segoe UI" w:hAnsi="Segoe UI" w:cs="Segoe UI"/>
        </w:rPr>
      </w:pPr>
      <w:hyperlink r:id="rId8" w:history="1">
        <w:r>
          <w:rPr>
            <w:rStyle w:val="Hipervnculo"/>
            <w:rFonts w:ascii="Segoe UI" w:hAnsi="Segoe UI" w:cs="Segoe UI"/>
          </w:rPr>
          <w:t>https://www.ub.edu/adaptabit/wcag21/</w:t>
        </w:r>
      </w:hyperlink>
    </w:p>
    <w:p w14:paraId="16369F9E" w14:textId="77777777" w:rsidR="008017A3" w:rsidRDefault="008017A3" w:rsidP="008017A3">
      <w:pPr>
        <w:rPr>
          <w:rFonts w:eastAsiaTheme="minorHAnsi" w:cstheme="minorBidi"/>
        </w:rPr>
      </w:pPr>
    </w:p>
    <w:p w14:paraId="48962812" w14:textId="6239F565" w:rsidR="008017A3" w:rsidRDefault="004834FB" w:rsidP="008017A3">
      <w:r>
        <w:t xml:space="preserve">VERSIÓ </w:t>
      </w:r>
      <w:r w:rsidR="008017A3">
        <w:t>ORIGINAL ANGLÈS:</w:t>
      </w:r>
    </w:p>
    <w:p w14:paraId="438C12CE" w14:textId="77777777" w:rsidR="008017A3" w:rsidRDefault="008017A3" w:rsidP="008017A3">
      <w:hyperlink r:id="rId9" w:anchor="text-alternatives" w:history="1">
        <w:r>
          <w:rPr>
            <w:rStyle w:val="Hipervnculo"/>
          </w:rPr>
          <w:t>Web Content Accessibility Guidelines (WCAG) 2.1 (w3.org)</w:t>
        </w:r>
      </w:hyperlink>
    </w:p>
    <w:p w14:paraId="6FBA41A0" w14:textId="77777777" w:rsidR="008017A3" w:rsidRDefault="008017A3" w:rsidP="008017A3">
      <w:pPr>
        <w:jc w:val="both"/>
      </w:pPr>
    </w:p>
    <w:p w14:paraId="57747A54" w14:textId="4F729EB2" w:rsidR="008017A3" w:rsidRDefault="008017A3" w:rsidP="008017A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>.- Apartat de resum i al llarg de les directrius:</w:t>
      </w:r>
    </w:p>
    <w:p w14:paraId="400ECB43" w14:textId="77777777" w:rsidR="008017A3" w:rsidRDefault="008017A3" w:rsidP="008017A3">
      <w:pPr>
        <w:jc w:val="both"/>
        <w:rPr>
          <w:b/>
          <w:u w:val="single"/>
        </w:rPr>
      </w:pPr>
    </w:p>
    <w:p w14:paraId="2A85D53D" w14:textId="77777777" w:rsidR="008017A3" w:rsidRDefault="008017A3" w:rsidP="008017A3">
      <w:pPr>
        <w:jc w:val="both"/>
      </w:pPr>
      <w:r>
        <w:rPr>
          <w:b/>
        </w:rPr>
        <w:t>Proposta:</w:t>
      </w:r>
      <w:r>
        <w:t xml:space="preserve"> Substituir </w:t>
      </w:r>
      <w:r>
        <w:rPr>
          <w:i/>
          <w:color w:val="FF0000"/>
        </w:rPr>
        <w:t>usuaris</w:t>
      </w:r>
      <w:r>
        <w:rPr>
          <w:i/>
        </w:rPr>
        <w:t xml:space="preserve"> per </w:t>
      </w:r>
      <w:r>
        <w:rPr>
          <w:i/>
          <w:color w:val="FF0000"/>
        </w:rPr>
        <w:t xml:space="preserve">persones usuàries </w:t>
      </w:r>
      <w:r>
        <w:t>per l’ús correcte del llenguatge inclusiu.</w:t>
      </w:r>
    </w:p>
    <w:p w14:paraId="6B524E23" w14:textId="77777777" w:rsidR="008017A3" w:rsidRDefault="008017A3" w:rsidP="008017A3">
      <w:pPr>
        <w:jc w:val="both"/>
        <w:rPr>
          <w:i/>
        </w:rPr>
      </w:pPr>
      <w:r>
        <w:rPr>
          <w:i/>
        </w:rPr>
        <w:t>...but will not address every</w:t>
      </w:r>
      <w:r>
        <w:rPr>
          <w:i/>
          <w:color w:val="FF0000"/>
        </w:rPr>
        <w:t xml:space="preserve"> user </w:t>
      </w:r>
      <w:r>
        <w:rPr>
          <w:i/>
        </w:rPr>
        <w:t>need for people with these disabilities...</w:t>
      </w:r>
    </w:p>
    <w:p w14:paraId="4F8C91C5" w14:textId="208E885A" w:rsidR="008017A3" w:rsidRDefault="008017A3" w:rsidP="008017A3">
      <w:pPr>
        <w:jc w:val="both"/>
        <w:rPr>
          <w:i/>
        </w:rPr>
      </w:pPr>
      <w:r>
        <w:rPr>
          <w:i/>
        </w:rPr>
        <w:t xml:space="preserve">...tot i que no es tindran en compte totes les necessitats dels </w:t>
      </w:r>
      <w:r>
        <w:rPr>
          <w:i/>
          <w:color w:val="FF0000"/>
        </w:rPr>
        <w:t>usuaris</w:t>
      </w:r>
      <w:r>
        <w:rPr>
          <w:i/>
        </w:rPr>
        <w:t xml:space="preserve"> amb aquestes discapacitats...</w:t>
      </w:r>
    </w:p>
    <w:p w14:paraId="1711B3D3" w14:textId="77777777" w:rsidR="008017A3" w:rsidRDefault="008017A3" w:rsidP="008017A3">
      <w:pPr>
        <w:jc w:val="both"/>
        <w:rPr>
          <w:i/>
        </w:rPr>
      </w:pPr>
    </w:p>
    <w:p w14:paraId="5EC1128C" w14:textId="77777777" w:rsidR="008017A3" w:rsidRDefault="008017A3" w:rsidP="008017A3">
      <w:pPr>
        <w:jc w:val="both"/>
      </w:pPr>
      <w:r>
        <w:rPr>
          <w:b/>
        </w:rPr>
        <w:t>Justificació</w:t>
      </w:r>
      <w:r>
        <w:t xml:space="preserve">: </w:t>
      </w:r>
      <w:hyperlink r:id="rId10" w:history="1">
        <w:r>
          <w:rPr>
            <w:rStyle w:val="Hipervnculo"/>
          </w:rPr>
          <w:t>C:\Users\rrosels\AppData\Local\Temp\msoF704.tmp (chj.es)</w:t>
        </w:r>
      </w:hyperlink>
    </w:p>
    <w:p w14:paraId="2FF178DA" w14:textId="268437A6" w:rsidR="008017A3" w:rsidRDefault="008017A3" w:rsidP="008017A3">
      <w:pPr>
        <w:jc w:val="both"/>
      </w:pPr>
      <w:r>
        <w:t xml:space="preserve">A l’anglès els adjectius no tenen gènere per tant entenem que no és que a la versió original hagin volgut posar un adjectiu no inclusiu, és que és un aspecte gramatical de la llengua anglesa que no distingeix masculí i femení com a tals. </w:t>
      </w:r>
    </w:p>
    <w:p w14:paraId="3957ABB4" w14:textId="77777777" w:rsidR="008017A3" w:rsidRDefault="008017A3" w:rsidP="008017A3">
      <w:pPr>
        <w:jc w:val="both"/>
      </w:pPr>
    </w:p>
    <w:p w14:paraId="5DB5FD90" w14:textId="52923568" w:rsidR="008017A3" w:rsidRDefault="008017A3" w:rsidP="008017A3">
      <w:pPr>
        <w:jc w:val="both"/>
      </w:pPr>
      <w:r>
        <w:t>En el cas del català els adjectius sí que tenen gènere i per qüestions de llenguatge inclusiu proposem aquest canvi perquè per nosaltres no altera la traducció però ja decidiu.</w:t>
      </w:r>
    </w:p>
    <w:p w14:paraId="4E17B9E9" w14:textId="77777777" w:rsidR="008017A3" w:rsidRDefault="008017A3" w:rsidP="008017A3">
      <w:pPr>
        <w:jc w:val="both"/>
      </w:pPr>
    </w:p>
    <w:p w14:paraId="29CD6A43" w14:textId="01D0D80E" w:rsidR="008017A3" w:rsidRDefault="008017A3" w:rsidP="008017A3">
      <w:pPr>
        <w:jc w:val="both"/>
      </w:pPr>
      <w:r>
        <w:t>Aquesta observació és aplicable a tot el text traduït quan aparegui la mateixa menció en el mateix sentit. Per economia del llenguatge escrit només farem referència a aquesta observació aquí.</w:t>
      </w:r>
    </w:p>
    <w:p w14:paraId="43FD3188" w14:textId="77777777" w:rsidR="008017A3" w:rsidRDefault="008017A3" w:rsidP="008017A3">
      <w:pPr>
        <w:jc w:val="both"/>
      </w:pPr>
    </w:p>
    <w:p w14:paraId="487243DD" w14:textId="584E7F07" w:rsidR="008017A3" w:rsidRDefault="008017A3" w:rsidP="008017A3">
      <w:pPr>
        <w:jc w:val="both"/>
      </w:pPr>
      <w:r>
        <w:t xml:space="preserve">Cal fer referència que a la versió oficial s’indica </w:t>
      </w:r>
      <w:r>
        <w:rPr>
          <w:i/>
          <w:color w:val="FF0000"/>
        </w:rPr>
        <w:t>to this community</w:t>
      </w:r>
      <w:r>
        <w:rPr>
          <w:color w:val="FF0000"/>
        </w:rPr>
        <w:t xml:space="preserve"> </w:t>
      </w:r>
      <w:r>
        <w:t xml:space="preserve">i a la traducció en català s’afegeix </w:t>
      </w:r>
      <w:r>
        <w:rPr>
          <w:color w:val="FF0000"/>
        </w:rPr>
        <w:t xml:space="preserve">a </w:t>
      </w:r>
      <w:r>
        <w:rPr>
          <w:i/>
          <w:color w:val="FF0000"/>
        </w:rPr>
        <w:t>la comunitat d’usuaris</w:t>
      </w:r>
      <w:r>
        <w:t>, a tenir en compte, també.</w:t>
      </w:r>
    </w:p>
    <w:p w14:paraId="566C1F43" w14:textId="77777777" w:rsidR="008017A3" w:rsidRDefault="008017A3" w:rsidP="008017A3">
      <w:pPr>
        <w:jc w:val="both"/>
      </w:pPr>
    </w:p>
    <w:p w14:paraId="62A23F9D" w14:textId="6BA6A6A5" w:rsidR="008017A3" w:rsidRDefault="008017A3" w:rsidP="008017A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>.- Apartat 0.2 Àmbits d'orientació de les WCAG 2</w:t>
      </w:r>
    </w:p>
    <w:p w14:paraId="056F4B12" w14:textId="627B4D8F" w:rsidR="008017A3" w:rsidRDefault="008017A3" w:rsidP="008017A3">
      <w:pPr>
        <w:jc w:val="both"/>
      </w:pPr>
      <w:r>
        <w:t>Proposta: Substituir</w:t>
      </w:r>
      <w:r>
        <w:rPr>
          <w:i/>
          <w:color w:val="FF0000"/>
        </w:rPr>
        <w:t xml:space="preserve"> usuaris</w:t>
      </w:r>
      <w:r>
        <w:rPr>
          <w:color w:val="FF0000"/>
        </w:rPr>
        <w:t xml:space="preserve"> </w:t>
      </w:r>
      <w:r>
        <w:t xml:space="preserve">o bé per </w:t>
      </w:r>
      <w:r>
        <w:rPr>
          <w:i/>
        </w:rPr>
        <w:t>persones usuàries</w:t>
      </w:r>
      <w:r>
        <w:t xml:space="preserve">, en la línia comentada o per </w:t>
      </w:r>
      <w:r>
        <w:rPr>
          <w:i/>
        </w:rPr>
        <w:t>audiència</w:t>
      </w:r>
      <w:r>
        <w:t xml:space="preserve"> ja que el terme original és </w:t>
      </w:r>
      <w:r>
        <w:rPr>
          <w:i/>
          <w:color w:val="FF0000"/>
        </w:rPr>
        <w:t>audience</w:t>
      </w:r>
      <w:r>
        <w:t xml:space="preserve"> que significa </w:t>
      </w:r>
      <w:r>
        <w:rPr>
          <w:color w:val="FF0000"/>
        </w:rPr>
        <w:t>audiència</w:t>
      </w:r>
      <w:r>
        <w:t xml:space="preserve"> (tot i que també públic, que és masculí)</w:t>
      </w:r>
      <w:r>
        <w:t>.</w:t>
      </w:r>
    </w:p>
    <w:p w14:paraId="2F5B6415" w14:textId="77777777" w:rsidR="008017A3" w:rsidRDefault="008017A3" w:rsidP="008017A3">
      <w:pPr>
        <w:jc w:val="both"/>
      </w:pPr>
    </w:p>
    <w:p w14:paraId="199FADA2" w14:textId="2B441338" w:rsidR="008017A3" w:rsidRDefault="008017A3" w:rsidP="008017A3">
      <w:pPr>
        <w:jc w:val="both"/>
        <w:rPr>
          <w:i/>
        </w:rPr>
      </w:pPr>
      <w:r>
        <w:rPr>
          <w:i/>
        </w:rPr>
        <w:t>...</w:t>
      </w:r>
      <w:r>
        <w:rPr>
          <w:rFonts w:cstheme="minorHAnsi"/>
          <w:i/>
          <w:color w:val="000000"/>
          <w:shd w:val="clear" w:color="auto" w:fill="FFFFFF"/>
        </w:rPr>
        <w:t xml:space="preserve">In order to meet the varying needs of this </w:t>
      </w:r>
      <w:r>
        <w:rPr>
          <w:rFonts w:cstheme="minorHAnsi"/>
          <w:i/>
          <w:color w:val="000000"/>
          <w:u w:val="single"/>
          <w:shd w:val="clear" w:color="auto" w:fill="FFFFFF"/>
        </w:rPr>
        <w:t>audience</w:t>
      </w:r>
      <w:r>
        <w:rPr>
          <w:i/>
        </w:rPr>
        <w:t>...</w:t>
      </w:r>
    </w:p>
    <w:p w14:paraId="6DA21A64" w14:textId="77777777" w:rsidR="008017A3" w:rsidRDefault="008017A3" w:rsidP="008017A3">
      <w:pPr>
        <w:jc w:val="both"/>
        <w:rPr>
          <w:rFonts w:cstheme="minorHAnsi"/>
          <w:i/>
        </w:rPr>
      </w:pPr>
    </w:p>
    <w:p w14:paraId="1DD4ED41" w14:textId="4F716552" w:rsidR="008017A3" w:rsidRDefault="008017A3" w:rsidP="008017A3">
      <w:pPr>
        <w:jc w:val="both"/>
        <w:rPr>
          <w:i/>
        </w:rPr>
      </w:pPr>
      <w:r>
        <w:rPr>
          <w:i/>
        </w:rPr>
        <w:t>...</w:t>
      </w:r>
      <w:r>
        <w:rPr>
          <w:rFonts w:cstheme="minorHAnsi"/>
          <w:i/>
          <w:color w:val="000000"/>
          <w:shd w:val="clear" w:color="auto" w:fill="FFFFFF"/>
        </w:rPr>
        <w:t xml:space="preserve">A fi de poder satisfer les diferents necessitats d'aquests </w:t>
      </w:r>
      <w:r>
        <w:rPr>
          <w:rFonts w:cstheme="minorHAnsi"/>
          <w:i/>
          <w:color w:val="000000"/>
          <w:u w:val="single"/>
          <w:shd w:val="clear" w:color="auto" w:fill="FFFFFF"/>
        </w:rPr>
        <w:t>usuaris</w:t>
      </w:r>
      <w:r>
        <w:rPr>
          <w:i/>
        </w:rPr>
        <w:t>...</w:t>
      </w:r>
    </w:p>
    <w:p w14:paraId="4C48D77A" w14:textId="77777777" w:rsidR="008017A3" w:rsidRDefault="008017A3" w:rsidP="008017A3">
      <w:pPr>
        <w:jc w:val="both"/>
        <w:rPr>
          <w:rFonts w:cstheme="minorBidi"/>
          <w:i/>
        </w:rPr>
      </w:pPr>
    </w:p>
    <w:p w14:paraId="0C9EA272" w14:textId="22C4E269" w:rsidR="008017A3" w:rsidRDefault="008017A3" w:rsidP="008017A3">
      <w:pPr>
        <w:jc w:val="both"/>
      </w:pPr>
      <w:r>
        <w:t xml:space="preserve">Justificació: La mateixa que a l’apartat anterior i per considerar que seria una traducció més fidel indicar </w:t>
      </w:r>
      <w:r>
        <w:rPr>
          <w:i/>
          <w:color w:val="FF0000"/>
        </w:rPr>
        <w:t>audiència</w:t>
      </w:r>
      <w:r>
        <w:t xml:space="preserve"> (en el sentit de públic).</w:t>
      </w:r>
    </w:p>
    <w:p w14:paraId="762E880B" w14:textId="7068259C" w:rsidR="008017A3" w:rsidRDefault="008017A3" w:rsidP="008017A3">
      <w:pPr>
        <w:jc w:val="both"/>
      </w:pPr>
    </w:p>
    <w:p w14:paraId="6677B600" w14:textId="3CD213D7" w:rsidR="008017A3" w:rsidRDefault="008017A3" w:rsidP="008017A3">
      <w:pPr>
        <w:jc w:val="both"/>
      </w:pPr>
    </w:p>
    <w:p w14:paraId="624FEBE8" w14:textId="77777777" w:rsidR="008017A3" w:rsidRDefault="008017A3" w:rsidP="008017A3">
      <w:pPr>
        <w:jc w:val="both"/>
      </w:pPr>
    </w:p>
    <w:p w14:paraId="3CCA9BFF" w14:textId="26C723B6" w:rsidR="008017A3" w:rsidRDefault="008017A3" w:rsidP="008017A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>
        <w:rPr>
          <w:b/>
          <w:u w:val="single"/>
        </w:rPr>
        <w:t>.- Criteri de conformitat 1.2.6 Llenguatge de signes (preenregistrat)</w:t>
      </w:r>
    </w:p>
    <w:p w14:paraId="6E743B3E" w14:textId="77777777" w:rsidR="008017A3" w:rsidRDefault="008017A3" w:rsidP="008017A3">
      <w:pPr>
        <w:jc w:val="both"/>
        <w:rPr>
          <w:b/>
          <w:u w:val="single"/>
        </w:rPr>
      </w:pPr>
    </w:p>
    <w:p w14:paraId="43CF6266" w14:textId="435B4AE4" w:rsidR="008017A3" w:rsidRDefault="008017A3" w:rsidP="008017A3">
      <w:pPr>
        <w:jc w:val="both"/>
      </w:pPr>
      <w:r>
        <w:rPr>
          <w:b/>
        </w:rPr>
        <w:t>Proposta 1:</w:t>
      </w:r>
      <w:r>
        <w:t xml:space="preserve"> Substituir el terme </w:t>
      </w:r>
      <w:r>
        <w:rPr>
          <w:i/>
          <w:color w:val="FF0000"/>
        </w:rPr>
        <w:t>Llenguatge</w:t>
      </w:r>
      <w:r>
        <w:rPr>
          <w:color w:val="FF0000"/>
        </w:rPr>
        <w:t xml:space="preserve"> </w:t>
      </w:r>
      <w:r>
        <w:t>per Llengua pel sentit pejoratiu i incorrecte del primer i</w:t>
      </w:r>
      <w:r>
        <w:rPr>
          <w:i/>
        </w:rPr>
        <w:t xml:space="preserve"> </w:t>
      </w:r>
      <w:r>
        <w:t xml:space="preserve">perquè la </w:t>
      </w:r>
      <w:r>
        <w:rPr>
          <w:i/>
          <w:color w:val="FF0000"/>
        </w:rPr>
        <w:t>Llengua de signes</w:t>
      </w:r>
      <w:r>
        <w:rPr>
          <w:color w:val="FF0000"/>
        </w:rPr>
        <w:t xml:space="preserve"> </w:t>
      </w:r>
      <w:r>
        <w:t>és un sistema lingüístic ple i ric, és una llengua explicitada i reconeguda tant a l’Estat espanyol, com a Catalunya amb les característiques pròpies d’una llengua.</w:t>
      </w:r>
    </w:p>
    <w:p w14:paraId="2054F5CE" w14:textId="77777777" w:rsidR="008017A3" w:rsidRDefault="008017A3" w:rsidP="008017A3">
      <w:pPr>
        <w:jc w:val="both"/>
      </w:pPr>
    </w:p>
    <w:p w14:paraId="05FEB7F4" w14:textId="77777777" w:rsidR="008017A3" w:rsidRDefault="008017A3" w:rsidP="008017A3">
      <w:pPr>
        <w:jc w:val="both"/>
      </w:pPr>
      <w:r>
        <w:rPr>
          <w:b/>
        </w:rPr>
        <w:t>Justificació:</w:t>
      </w:r>
      <w:r>
        <w:t xml:space="preserve"> Normativa de referència + guia llenguatge inclusiu (al final)</w:t>
      </w:r>
    </w:p>
    <w:p w14:paraId="17E3B767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r>
        <w:t>Ley 27/2007, de 23 de octubre, por la que se reconocen las lenguas de signos españolas y se regulan los medios de apoyo a la comunicación oral de las personas sordas, con discapacidad auditiva y sordociegas</w:t>
      </w:r>
    </w:p>
    <w:p w14:paraId="15FFA0E5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r>
        <w:t>Estatut d’Autonomia de Catalunya (article 50.6)</w:t>
      </w:r>
    </w:p>
    <w:p w14:paraId="0ACC26B2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r>
        <w:t>Llei 17/2010, del 3 de juny, de la llengua de signes catalana</w:t>
      </w:r>
    </w:p>
    <w:p w14:paraId="54F5224D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hyperlink r:id="rId11" w:history="1">
        <w:r>
          <w:rPr>
            <w:rStyle w:val="Hipervnculo"/>
          </w:rPr>
          <w:t>Guia de llenguatge inclusiu en el tractament de persones amb discapacitat (gencat.cat)</w:t>
        </w:r>
      </w:hyperlink>
    </w:p>
    <w:p w14:paraId="5B31C12F" w14:textId="60F93B40" w:rsidR="008017A3" w:rsidRDefault="008017A3" w:rsidP="008017A3">
      <w:pPr>
        <w:jc w:val="both"/>
      </w:pPr>
      <w:r>
        <w:t>Aquesta consideració és aplicable a totes les referències relatives a la llengua de signes i que per economia del llenguatge escrit no detallem de manera específica cada vegada que surt. Tot i així és molt important que vosaltres a la traducció definitiva reviseu totes les referències esmentades sense deixar-ne cap (ja sigui al propi contingut com per exemple al glossari o a les notes).</w:t>
      </w:r>
    </w:p>
    <w:p w14:paraId="5462DFCA" w14:textId="77777777" w:rsidR="008017A3" w:rsidRDefault="008017A3" w:rsidP="008017A3">
      <w:pPr>
        <w:jc w:val="both"/>
      </w:pPr>
    </w:p>
    <w:p w14:paraId="1ECD006B" w14:textId="4B1D4C7C" w:rsidR="008017A3" w:rsidRDefault="008017A3" w:rsidP="008017A3">
      <w:pPr>
        <w:jc w:val="both"/>
        <w:rPr>
          <w:bCs/>
        </w:rPr>
      </w:pPr>
      <w:r>
        <w:rPr>
          <w:bCs/>
        </w:rPr>
        <w:t xml:space="preserve">Cal remarcar, per exemple, que quan apareix el terme </w:t>
      </w:r>
      <w:r>
        <w:rPr>
          <w:bCs/>
          <w:i/>
          <w:color w:val="FF0000"/>
        </w:rPr>
        <w:t>llenguatge natural</w:t>
      </w:r>
      <w:r>
        <w:rPr>
          <w:bCs/>
          <w:color w:val="FF0000"/>
        </w:rPr>
        <w:t xml:space="preserve"> </w:t>
      </w:r>
      <w:r>
        <w:rPr>
          <w:bCs/>
        </w:rPr>
        <w:t xml:space="preserve">(Directriu 3.1 Llegible o glossari) referit a la facultat humana per comunicar-se –de manera oral, escrita, visual, signada i tàctil- és correcte en tant que capacitat de comunicació però no en tota la resta de casos. Sí que és incorrecta la referència que hi ha a la nota que hi ha a sota del glossari que torna a indicar </w:t>
      </w:r>
      <w:r>
        <w:rPr>
          <w:bCs/>
          <w:i/>
          <w:color w:val="FF0000"/>
        </w:rPr>
        <w:t>llenguatge de signes</w:t>
      </w:r>
      <w:r>
        <w:rPr>
          <w:bCs/>
          <w:color w:val="FF0000"/>
        </w:rPr>
        <w:t xml:space="preserve"> </w:t>
      </w:r>
      <w:r>
        <w:rPr>
          <w:bCs/>
        </w:rPr>
        <w:t xml:space="preserve">quan és </w:t>
      </w:r>
      <w:r>
        <w:rPr>
          <w:bCs/>
          <w:i/>
          <w:color w:val="FF0000"/>
        </w:rPr>
        <w:t xml:space="preserve">llengua de signes, </w:t>
      </w:r>
      <w:r>
        <w:rPr>
          <w:bCs/>
        </w:rPr>
        <w:t>com hem dit.</w:t>
      </w:r>
    </w:p>
    <w:p w14:paraId="3E0C14ED" w14:textId="77777777" w:rsidR="008017A3" w:rsidRDefault="008017A3" w:rsidP="008017A3">
      <w:pPr>
        <w:jc w:val="both"/>
        <w:rPr>
          <w:bCs/>
        </w:rPr>
      </w:pPr>
    </w:p>
    <w:p w14:paraId="3995C244" w14:textId="77777777" w:rsidR="008017A3" w:rsidRDefault="008017A3" w:rsidP="008017A3">
      <w:pPr>
        <w:jc w:val="both"/>
        <w:rPr>
          <w:rFonts w:cstheme="minorHAnsi"/>
          <w:b/>
          <w:color w:val="000000"/>
          <w:shd w:val="clear" w:color="auto" w:fill="FFFFFF"/>
          <w:lang w:val="es-ES"/>
        </w:rPr>
      </w:pPr>
      <w:r>
        <w:rPr>
          <w:rFonts w:cstheme="minorHAnsi"/>
          <w:b/>
          <w:color w:val="000000"/>
          <w:shd w:val="clear" w:color="auto" w:fill="FFFFFF"/>
        </w:rPr>
        <w:t>Proposta 2:</w:t>
      </w:r>
    </w:p>
    <w:p w14:paraId="414A89CA" w14:textId="77777777" w:rsidR="008017A3" w:rsidRDefault="008017A3" w:rsidP="008017A3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shd w:val="clear" w:color="auto" w:fill="FFFFFF"/>
        </w:rPr>
        <w:t>Apartat Criteri de conformitat 1.2.6 </w:t>
      </w:r>
      <w:r>
        <w:rPr>
          <w:rFonts w:cstheme="minorHAnsi"/>
          <w:color w:val="000000"/>
          <w:shd w:val="clear" w:color="auto" w:fill="FFFFFF"/>
        </w:rPr>
        <w:t>Llenguatge de signes (preenregistrat)</w:t>
      </w:r>
    </w:p>
    <w:p w14:paraId="6394D11D" w14:textId="5C304910" w:rsidR="008017A3" w:rsidRDefault="008017A3" w:rsidP="008017A3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Nivell AAA </w:t>
      </w:r>
    </w:p>
    <w:p w14:paraId="436FCC85" w14:textId="77777777" w:rsidR="008017A3" w:rsidRDefault="008017A3" w:rsidP="008017A3">
      <w:pPr>
        <w:jc w:val="both"/>
        <w:rPr>
          <w:rFonts w:cstheme="minorHAnsi"/>
          <w:color w:val="000000"/>
          <w:shd w:val="clear" w:color="auto" w:fill="FFFFFF"/>
        </w:rPr>
      </w:pPr>
    </w:p>
    <w:p w14:paraId="5F27315B" w14:textId="08411DD7" w:rsidR="008017A3" w:rsidRDefault="008017A3" w:rsidP="008017A3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Es proposa la substitució de terminologia </w:t>
      </w:r>
      <w:r>
        <w:rPr>
          <w:rFonts w:cstheme="minorHAnsi"/>
          <w:i/>
          <w:color w:val="000000"/>
          <w:shd w:val="clear" w:color="auto" w:fill="FFFFFF"/>
        </w:rPr>
        <w:t xml:space="preserve">interpretació </w:t>
      </w:r>
      <w:r>
        <w:rPr>
          <w:rFonts w:cstheme="minorHAnsi"/>
          <w:b/>
          <w:i/>
          <w:color w:val="FF0000"/>
          <w:shd w:val="clear" w:color="auto" w:fill="FFFFFF"/>
        </w:rPr>
        <w:t xml:space="preserve">en </w:t>
      </w:r>
      <w:r>
        <w:rPr>
          <w:rFonts w:cstheme="minorHAnsi"/>
          <w:i/>
          <w:color w:val="FF0000"/>
          <w:shd w:val="clear" w:color="auto" w:fill="FFFFFF"/>
        </w:rPr>
        <w:t xml:space="preserve">llenguatge </w:t>
      </w:r>
      <w:r>
        <w:rPr>
          <w:rFonts w:cstheme="minorHAnsi"/>
          <w:i/>
          <w:color w:val="000000"/>
          <w:shd w:val="clear" w:color="auto" w:fill="FFFFFF"/>
        </w:rPr>
        <w:t xml:space="preserve">de signes </w:t>
      </w:r>
      <w:r>
        <w:rPr>
          <w:rFonts w:cstheme="minorHAnsi"/>
          <w:i/>
          <w:color w:val="FF0000"/>
          <w:shd w:val="clear" w:color="auto" w:fill="FFFFFF"/>
        </w:rPr>
        <w:t xml:space="preserve">per interpretació </w:t>
      </w:r>
      <w:r>
        <w:rPr>
          <w:rFonts w:cstheme="minorHAnsi"/>
          <w:b/>
          <w:i/>
          <w:color w:val="FF0000"/>
          <w:shd w:val="clear" w:color="auto" w:fill="FFFFFF"/>
        </w:rPr>
        <w:t>de</w:t>
      </w:r>
      <w:r>
        <w:rPr>
          <w:rFonts w:cstheme="minorHAnsi"/>
          <w:i/>
          <w:color w:val="FF0000"/>
          <w:shd w:val="clear" w:color="auto" w:fill="FFFFFF"/>
        </w:rPr>
        <w:t xml:space="preserve"> llengua de signes. </w:t>
      </w:r>
      <w:r>
        <w:rPr>
          <w:rFonts w:cstheme="minorHAnsi"/>
          <w:shd w:val="clear" w:color="auto" w:fill="FFFFFF"/>
        </w:rPr>
        <w:t>La preposició correcta és de i no en (a més del comentari fet a l’ús incorrecte de llenguatge, ja esmentat).</w:t>
      </w:r>
    </w:p>
    <w:p w14:paraId="452264EC" w14:textId="77777777" w:rsidR="008017A3" w:rsidRDefault="008017A3" w:rsidP="008017A3">
      <w:pPr>
        <w:jc w:val="both"/>
        <w:rPr>
          <w:rFonts w:cstheme="minorHAnsi"/>
          <w:shd w:val="clear" w:color="auto" w:fill="FFFFFF"/>
        </w:rPr>
      </w:pPr>
    </w:p>
    <w:p w14:paraId="7D9D5881" w14:textId="77777777" w:rsidR="008017A3" w:rsidRDefault="008017A3" w:rsidP="008017A3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Justificació:</w:t>
      </w:r>
      <w:r>
        <w:rPr>
          <w:rFonts w:cstheme="minorHAnsi"/>
          <w:shd w:val="clear" w:color="auto" w:fill="FFFFFF"/>
        </w:rPr>
        <w:t xml:space="preserve"> Normativa de referència </w:t>
      </w:r>
      <w:r>
        <w:t>+ guia llenguatge inclusiu (al final)</w:t>
      </w:r>
    </w:p>
    <w:p w14:paraId="18595503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  <w:rPr>
          <w:rFonts w:cstheme="minorBidi"/>
        </w:rPr>
      </w:pPr>
      <w:r>
        <w:t>Ley 27/2007, de 23 de octubre, por la que se reconocen las lenguas de signos españolas y se regulan los medios de apoyo a la comunicación oral de las personas sordas, con discapacidad auditiva y sordociegas</w:t>
      </w:r>
    </w:p>
    <w:p w14:paraId="361F0937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r>
        <w:t>Llei 17/2010, del 3 de juny, de la llengua de signes catalana</w:t>
      </w:r>
    </w:p>
    <w:p w14:paraId="5FB15480" w14:textId="77777777" w:rsidR="008017A3" w:rsidRDefault="008017A3" w:rsidP="008017A3">
      <w:pPr>
        <w:pStyle w:val="Prrafodelista"/>
        <w:numPr>
          <w:ilvl w:val="0"/>
          <w:numId w:val="16"/>
        </w:numPr>
        <w:spacing w:after="160" w:line="254" w:lineRule="auto"/>
        <w:jc w:val="both"/>
      </w:pPr>
      <w:hyperlink r:id="rId12" w:history="1">
        <w:r>
          <w:rPr>
            <w:rStyle w:val="Hipervnculo"/>
          </w:rPr>
          <w:t>Guia de llenguatge inclusiu en el tractament de persones amb discapacitat (gencat.cat)</w:t>
        </w:r>
      </w:hyperlink>
    </w:p>
    <w:p w14:paraId="5A7320F0" w14:textId="77777777" w:rsidR="008017A3" w:rsidRDefault="008017A3" w:rsidP="008017A3">
      <w:pPr>
        <w:jc w:val="both"/>
        <w:rPr>
          <w:b/>
          <w:u w:val="single"/>
        </w:rPr>
      </w:pPr>
    </w:p>
    <w:p w14:paraId="3103A451" w14:textId="30BABFDD" w:rsidR="008017A3" w:rsidRDefault="008017A3" w:rsidP="008017A3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>
        <w:rPr>
          <w:b/>
          <w:u w:val="single"/>
        </w:rPr>
        <w:t>.- Glossari: Definició d’ajuda tècnica: Nota sobre Ampliadors de pantalla</w:t>
      </w:r>
    </w:p>
    <w:p w14:paraId="73C38DE4" w14:textId="4D3DCC3F" w:rsidR="008017A3" w:rsidRDefault="008017A3" w:rsidP="008017A3">
      <w:pPr>
        <w:jc w:val="both"/>
      </w:pPr>
      <w:r>
        <w:t xml:space="preserve">Proposta: Consensuar el terme amb altres entitats especialitzades com la ONCE per indicar el terme més idoni ja que nosaltres, que hem fet i fem atenció a algunes persones amb sordceguesa, pel que fa a la seva pèrdua visual, quan aquesta és funcional per reconèixer, llegir i comprendre textos, per exemple, utilitzem el terme </w:t>
      </w:r>
      <w:r>
        <w:rPr>
          <w:i/>
          <w:color w:val="FF0000"/>
        </w:rPr>
        <w:t>amplificadors de pantalla</w:t>
      </w:r>
      <w:r>
        <w:t xml:space="preserve"> en comptes d’</w:t>
      </w:r>
      <w:r>
        <w:rPr>
          <w:color w:val="FF0000"/>
        </w:rPr>
        <w:t>ampliadors de pantalla</w:t>
      </w:r>
      <w:r>
        <w:t>.</w:t>
      </w:r>
    </w:p>
    <w:p w14:paraId="56D176D6" w14:textId="77777777" w:rsidR="008017A3" w:rsidRDefault="008017A3" w:rsidP="008017A3">
      <w:pPr>
        <w:jc w:val="both"/>
      </w:pPr>
    </w:p>
    <w:p w14:paraId="30275532" w14:textId="7D8A1C1B" w:rsidR="008017A3" w:rsidRDefault="008017A3" w:rsidP="008017A3">
      <w:pPr>
        <w:jc w:val="both"/>
        <w:rPr>
          <w:i/>
          <w:color w:val="FF0000"/>
        </w:rPr>
      </w:pPr>
      <w:r>
        <w:t xml:space="preserve">Si la resta està d’acord proposem la substitució </w:t>
      </w:r>
      <w:r>
        <w:rPr>
          <w:i/>
          <w:color w:val="FF0000"/>
        </w:rPr>
        <w:t>d’ampliadors de pantalla</w:t>
      </w:r>
      <w:r>
        <w:rPr>
          <w:color w:val="FF0000"/>
        </w:rPr>
        <w:t xml:space="preserve"> </w:t>
      </w:r>
      <w:r>
        <w:t xml:space="preserve">pel de </w:t>
      </w:r>
      <w:r>
        <w:rPr>
          <w:i/>
          <w:color w:val="FF0000"/>
        </w:rPr>
        <w:t>magnificadors de pantalla.</w:t>
      </w:r>
    </w:p>
    <w:p w14:paraId="36654280" w14:textId="77777777" w:rsidR="008017A3" w:rsidRDefault="008017A3" w:rsidP="008017A3">
      <w:pPr>
        <w:jc w:val="both"/>
        <w:rPr>
          <w:i/>
          <w:color w:val="FF0000"/>
        </w:rPr>
      </w:pPr>
    </w:p>
    <w:p w14:paraId="6FFC3242" w14:textId="11B9EA9C" w:rsidR="008017A3" w:rsidRDefault="008017A3" w:rsidP="008017A3">
      <w:pPr>
        <w:jc w:val="both"/>
      </w:pPr>
      <w:r>
        <w:t xml:space="preserve">Justificació: Traducció més fidel de l’anglès </w:t>
      </w:r>
      <w:r>
        <w:rPr>
          <w:i/>
          <w:color w:val="FF0000"/>
        </w:rPr>
        <w:t>screen magnifiers</w:t>
      </w:r>
      <w:r>
        <w:rPr>
          <w:color w:val="FF0000"/>
        </w:rPr>
        <w:t xml:space="preserve"> </w:t>
      </w:r>
      <w:r>
        <w:t>que és el terme original.</w:t>
      </w:r>
    </w:p>
    <w:p w14:paraId="246A127B" w14:textId="77777777" w:rsidR="008017A3" w:rsidRDefault="008017A3" w:rsidP="008017A3">
      <w:pPr>
        <w:jc w:val="both"/>
      </w:pPr>
    </w:p>
    <w:p w14:paraId="3920F8AD" w14:textId="2D107C02" w:rsidR="008017A3" w:rsidRDefault="008017A3" w:rsidP="008017A3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>
        <w:rPr>
          <w:b/>
          <w:u w:val="single"/>
        </w:rPr>
        <w:t>.- Glossari: Definició</w:t>
      </w:r>
      <w:r>
        <w:rPr>
          <w:u w:val="single"/>
        </w:rPr>
        <w:t> </w:t>
      </w:r>
      <w:r>
        <w:rPr>
          <w:b/>
          <w:u w:val="single"/>
        </w:rPr>
        <w:t>d’interfície de teclat nota sobre  intèrprets d'escriptura manual</w:t>
      </w:r>
    </w:p>
    <w:p w14:paraId="0DE65393" w14:textId="77777777" w:rsidR="008017A3" w:rsidRDefault="008017A3" w:rsidP="008017A3">
      <w:pPr>
        <w:jc w:val="both"/>
        <w:rPr>
          <w:b/>
          <w:u w:val="single"/>
        </w:rPr>
      </w:pPr>
    </w:p>
    <w:p w14:paraId="40F0D180" w14:textId="22F78F4D" w:rsidR="008017A3" w:rsidRDefault="008017A3" w:rsidP="008017A3">
      <w:pPr>
        <w:jc w:val="both"/>
        <w:rPr>
          <w:i/>
          <w:color w:val="FF0000"/>
        </w:rPr>
      </w:pPr>
      <w:r>
        <w:rPr>
          <w:b/>
        </w:rPr>
        <w:t xml:space="preserve">Proposta: </w:t>
      </w:r>
      <w:r>
        <w:t xml:space="preserve">Substituir el terme </w:t>
      </w:r>
      <w:r>
        <w:rPr>
          <w:i/>
        </w:rPr>
        <w:t>intèrprets d'escriptura manual</w:t>
      </w:r>
      <w:r>
        <w:t xml:space="preserve"> per </w:t>
      </w:r>
      <w:r>
        <w:rPr>
          <w:i/>
          <w:color w:val="FF0000"/>
        </w:rPr>
        <w:t>transcriptors textuals</w:t>
      </w:r>
      <w:r>
        <w:rPr>
          <w:i/>
          <w:color w:val="FF0000"/>
        </w:rPr>
        <w:t>.</w:t>
      </w:r>
    </w:p>
    <w:p w14:paraId="0E4150BF" w14:textId="77777777" w:rsidR="008017A3" w:rsidRDefault="008017A3" w:rsidP="008017A3">
      <w:pPr>
        <w:jc w:val="both"/>
      </w:pPr>
    </w:p>
    <w:p w14:paraId="71A1EE5E" w14:textId="738C082D" w:rsidR="008017A3" w:rsidRDefault="008017A3" w:rsidP="008017A3">
      <w:pPr>
        <w:jc w:val="both"/>
      </w:pPr>
      <w:r w:rsidRPr="008017A3">
        <w:rPr>
          <w:b/>
        </w:rPr>
        <w:t>Justificació:</w:t>
      </w:r>
      <w:r>
        <w:t xml:space="preserve"> En el nostre àmbit el terme </w:t>
      </w:r>
      <w:r>
        <w:rPr>
          <w:i/>
          <w:color w:val="FF0000"/>
        </w:rPr>
        <w:t>intèrpret</w:t>
      </w:r>
      <w:r>
        <w:t xml:space="preserve"> es reserva als professionals i no a software/APPS per exemple que traspassin informació d’àudio o veu a text. Per nosaltres no trenca la fidelitat del terme original en anglès perquè fa referència als </w:t>
      </w:r>
      <w:r>
        <w:rPr>
          <w:i/>
          <w:color w:val="FF0000"/>
        </w:rPr>
        <w:t>handwritting interpreters</w:t>
      </w:r>
      <w:r>
        <w:rPr>
          <w:color w:val="FF0000"/>
        </w:rPr>
        <w:t xml:space="preserve"> </w:t>
      </w:r>
      <w:r>
        <w:t xml:space="preserve">i el primer terme està relacional amb el suport textual. Acceptem </w:t>
      </w:r>
      <w:r>
        <w:rPr>
          <w:i/>
          <w:color w:val="FF0000"/>
        </w:rPr>
        <w:t>transcriptors d’escriptura manual</w:t>
      </w:r>
      <w:r>
        <w:t xml:space="preserve"> o </w:t>
      </w:r>
      <w:r>
        <w:rPr>
          <w:color w:val="FF0000"/>
        </w:rPr>
        <w:t xml:space="preserve">programes de transcripció d’escriptura manual </w:t>
      </w:r>
      <w:r>
        <w:t xml:space="preserve">per respectar la fidelitat però motivem el perquè el terme ha de ser </w:t>
      </w:r>
      <w:r>
        <w:rPr>
          <w:color w:val="FF0000"/>
        </w:rPr>
        <w:t>transcriptor</w:t>
      </w:r>
      <w:r>
        <w:t xml:space="preserve"> i no </w:t>
      </w:r>
      <w:r>
        <w:rPr>
          <w:color w:val="FF0000"/>
        </w:rPr>
        <w:t>intèrpret</w:t>
      </w:r>
      <w:r>
        <w:t>, ja que aquest es reserva a la figura professional humana. Ja valoreu la fidelitat però la nostra posició és aquesta.</w:t>
      </w:r>
    </w:p>
    <w:p w14:paraId="5E22A174" w14:textId="77777777" w:rsidR="008017A3" w:rsidRDefault="008017A3" w:rsidP="008017A3">
      <w:pPr>
        <w:jc w:val="both"/>
      </w:pPr>
    </w:p>
    <w:p w14:paraId="6C42884D" w14:textId="59A0B8F3" w:rsidR="008017A3" w:rsidRDefault="008017A3" w:rsidP="008017A3">
      <w:pPr>
        <w:jc w:val="both"/>
        <w:rPr>
          <w:u w:val="single"/>
        </w:rPr>
      </w:pPr>
      <w:r w:rsidRPr="008017A3">
        <w:rPr>
          <w:b/>
        </w:rPr>
        <w:t>6</w:t>
      </w:r>
      <w:r>
        <w:t xml:space="preserve"> </w:t>
      </w:r>
      <w:r>
        <w:rPr>
          <w:b/>
          <w:u w:val="single"/>
        </w:rPr>
        <w:t>.- Glossari: Definició</w:t>
      </w:r>
      <w:r>
        <w:rPr>
          <w:u w:val="single"/>
        </w:rPr>
        <w:t> </w:t>
      </w:r>
      <w:r>
        <w:rPr>
          <w:b/>
          <w:u w:val="single"/>
        </w:rPr>
        <w:t>interpretació del llenguatge de signes</w:t>
      </w:r>
      <w:r>
        <w:rPr>
          <w:u w:val="single"/>
        </w:rPr>
        <w:t xml:space="preserve"> </w:t>
      </w:r>
    </w:p>
    <w:p w14:paraId="2EB1B2CD" w14:textId="77777777" w:rsidR="008017A3" w:rsidRDefault="008017A3" w:rsidP="008017A3">
      <w:pPr>
        <w:jc w:val="both"/>
        <w:rPr>
          <w:u w:val="single"/>
        </w:rPr>
      </w:pPr>
    </w:p>
    <w:p w14:paraId="4F73F16D" w14:textId="77777777" w:rsidR="008017A3" w:rsidRDefault="008017A3" w:rsidP="008017A3">
      <w:pPr>
        <w:shd w:val="clear" w:color="auto" w:fill="FFFFFF"/>
        <w:rPr>
          <w:rFonts w:cstheme="minorHAnsi"/>
          <w:b/>
          <w:bCs/>
          <w:i/>
          <w:color w:val="000000"/>
          <w:lang w:val="es-ES"/>
        </w:rPr>
      </w:pPr>
      <w:r>
        <w:rPr>
          <w:rFonts w:cstheme="minorHAnsi"/>
          <w:b/>
          <w:bCs/>
          <w:i/>
          <w:iCs/>
          <w:color w:val="000000"/>
        </w:rPr>
        <w:t>interpretació del llenguatge de signes</w:t>
      </w:r>
    </w:p>
    <w:p w14:paraId="2E01BB64" w14:textId="77777777" w:rsidR="008017A3" w:rsidRDefault="008017A3" w:rsidP="008017A3">
      <w:pPr>
        <w:shd w:val="clear" w:color="auto" w:fill="FFFFFF"/>
        <w:spacing w:after="240"/>
        <w:ind w:left="72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Traducció d'un llenguatge, normalment un llenguatge parlat, a </w:t>
      </w:r>
      <w:hyperlink r:id="rId13" w:anchor="dfn-sign-language" w:history="1">
        <w:r>
          <w:rPr>
            <w:rStyle w:val="Hipervnculo"/>
            <w:rFonts w:cstheme="minorHAnsi"/>
            <w:i/>
          </w:rPr>
          <w:t>llenguatge de signes</w:t>
        </w:r>
      </w:hyperlink>
      <w:r>
        <w:rPr>
          <w:rFonts w:cstheme="minorHAnsi"/>
          <w:i/>
          <w:color w:val="000000"/>
        </w:rPr>
        <w:t>.</w:t>
      </w:r>
    </w:p>
    <w:p w14:paraId="7D066657" w14:textId="368113C1" w:rsidR="008017A3" w:rsidRDefault="008017A3" w:rsidP="008017A3">
      <w:pPr>
        <w:jc w:val="both"/>
      </w:pPr>
      <w:r>
        <w:t>Hem volgut fer aquesta observació independent encara que ja hem fet referència genèrica a l’ús incorrecte de terminologia del nostre àmbit al llarg de les directrius.</w:t>
      </w:r>
    </w:p>
    <w:p w14:paraId="10DF98E0" w14:textId="77777777" w:rsidR="008017A3" w:rsidRDefault="008017A3" w:rsidP="008017A3">
      <w:pPr>
        <w:jc w:val="both"/>
      </w:pPr>
    </w:p>
    <w:p w14:paraId="799106F2" w14:textId="3F9A32E3" w:rsidR="008017A3" w:rsidRDefault="008017A3" w:rsidP="008017A3">
      <w:pPr>
        <w:jc w:val="both"/>
      </w:pPr>
      <w:r>
        <w:t xml:space="preserve">Tot i que estem completament en desacord amb la definició o definicions entorn a </w:t>
      </w:r>
      <w:r>
        <w:rPr>
          <w:i/>
        </w:rPr>
        <w:t>la llengua de signes</w:t>
      </w:r>
      <w:r>
        <w:t xml:space="preserve"> i a la </w:t>
      </w:r>
      <w:r>
        <w:rPr>
          <w:i/>
        </w:rPr>
        <w:t>interpretació de llengua de signes</w:t>
      </w:r>
      <w:r>
        <w:t>, no podem alterar el seu contingut perquè es tracta d’una tasca de traducció i no de revisió de les definicions. No obstant hem volgut manifestar-ho. No obstant fem una proposta a continuació de substitució de preposicions a continuació.</w:t>
      </w:r>
    </w:p>
    <w:p w14:paraId="199EF32D" w14:textId="77777777" w:rsidR="008017A3" w:rsidRDefault="008017A3" w:rsidP="008017A3">
      <w:pPr>
        <w:jc w:val="both"/>
      </w:pPr>
    </w:p>
    <w:p w14:paraId="1F1F8739" w14:textId="3E518C23" w:rsidR="003038F1" w:rsidRDefault="008017A3" w:rsidP="00F4743C">
      <w:pPr>
        <w:jc w:val="both"/>
        <w:rPr>
          <w:rFonts w:cs="Arial"/>
          <w:b/>
          <w:bCs/>
        </w:rPr>
      </w:pPr>
      <w:r>
        <w:rPr>
          <w:b/>
        </w:rPr>
        <w:t>Proposta:</w:t>
      </w:r>
      <w:r>
        <w:t xml:space="preserve"> En la línia exposada substituir els termes </w:t>
      </w:r>
      <w:r>
        <w:rPr>
          <w:i/>
        </w:rPr>
        <w:t>llenguatge de signes</w:t>
      </w:r>
      <w:r>
        <w:t xml:space="preserve"> i </w:t>
      </w:r>
      <w:r>
        <w:rPr>
          <w:i/>
        </w:rPr>
        <w:t>interpretació</w:t>
      </w:r>
      <w:r>
        <w:t xml:space="preserve"> </w:t>
      </w:r>
      <w:r>
        <w:rPr>
          <w:b/>
          <w:color w:val="FF0000"/>
          <w:u w:val="single"/>
        </w:rPr>
        <w:t>en o del</w:t>
      </w:r>
      <w:r>
        <w:rPr>
          <w:b/>
          <w:color w:val="FF0000"/>
        </w:rPr>
        <w:t xml:space="preserve"> </w:t>
      </w:r>
      <w:r>
        <w:rPr>
          <w:i/>
          <w:color w:val="FF0000"/>
        </w:rPr>
        <w:t>llenguatge de signes</w:t>
      </w:r>
      <w:r>
        <w:rPr>
          <w:color w:val="FF0000"/>
        </w:rPr>
        <w:t xml:space="preserve"> </w:t>
      </w:r>
      <w:r>
        <w:t>pel terme interpretació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>de</w:t>
      </w:r>
      <w:r>
        <w:rPr>
          <w:color w:val="FF0000"/>
        </w:rPr>
        <w:t xml:space="preserve"> </w:t>
      </w:r>
      <w:r>
        <w:rPr>
          <w:i/>
          <w:color w:val="FF0000"/>
        </w:rPr>
        <w:t>llengua de signes</w:t>
      </w:r>
      <w:r>
        <w:t xml:space="preserve">. La partícula </w:t>
      </w:r>
      <w:r>
        <w:rPr>
          <w:b/>
          <w:color w:val="FF0000"/>
          <w:u w:val="single"/>
        </w:rPr>
        <w:t>del</w:t>
      </w:r>
      <w:r>
        <w:t xml:space="preserve"> denota que estem concretant una llengua de signes i aquesta no és única ni universal sinó que existeixen pluralitat de llengües de signes i aquí s’utilitza com un substantiu genèric.</w:t>
      </w:r>
    </w:p>
    <w:sectPr w:rsidR="003038F1" w:rsidSect="0082540D">
      <w:headerReference w:type="default" r:id="rId14"/>
      <w:footerReference w:type="default" r:id="rId15"/>
      <w:pgSz w:w="11906" w:h="16838"/>
      <w:pgMar w:top="1418" w:right="1361" w:bottom="1079" w:left="1474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C204" w14:textId="77777777" w:rsidR="00C4121A" w:rsidRDefault="00C4121A">
      <w:r>
        <w:separator/>
      </w:r>
    </w:p>
  </w:endnote>
  <w:endnote w:type="continuationSeparator" w:id="0">
    <w:p w14:paraId="3BC7A00C" w14:textId="77777777" w:rsidR="00C4121A" w:rsidRDefault="00C4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A055" w14:textId="77777777" w:rsidR="00646021" w:rsidRPr="009548E3" w:rsidRDefault="00646021" w:rsidP="00646021">
    <w:pPr>
      <w:tabs>
        <w:tab w:val="center" w:pos="4252"/>
        <w:tab w:val="right" w:pos="8504"/>
      </w:tabs>
      <w:jc w:val="center"/>
      <w:rPr>
        <w:color w:val="A20000"/>
        <w:sz w:val="16"/>
        <w:szCs w:val="16"/>
      </w:rPr>
    </w:pPr>
    <w:r w:rsidRPr="009548E3">
      <w:rPr>
        <w:rFonts w:ascii="Calibri" w:eastAsia="Calibri" w:hAnsi="Calibri" w:cs="Calibri"/>
        <w:color w:val="A20000"/>
        <w:sz w:val="16"/>
        <w:szCs w:val="16"/>
      </w:rPr>
      <w:t>Federació de Persones Sordes de Catalunya (FESOCA)</w:t>
    </w:r>
  </w:p>
  <w:p w14:paraId="15A9C3D5" w14:textId="77777777" w:rsidR="00646021" w:rsidRPr="009548E3" w:rsidRDefault="00646021" w:rsidP="00646021">
    <w:pPr>
      <w:tabs>
        <w:tab w:val="center" w:pos="4252"/>
        <w:tab w:val="right" w:pos="8504"/>
      </w:tabs>
      <w:jc w:val="center"/>
      <w:rPr>
        <w:color w:val="A20000"/>
        <w:sz w:val="16"/>
        <w:szCs w:val="16"/>
      </w:rPr>
    </w:pPr>
    <w:r w:rsidRPr="009548E3">
      <w:rPr>
        <w:rFonts w:ascii="Calibri" w:eastAsia="Calibri" w:hAnsi="Calibri" w:cs="Calibri"/>
        <w:color w:val="A20000"/>
        <w:sz w:val="16"/>
        <w:szCs w:val="16"/>
      </w:rPr>
      <w:t>C/ Pere Vergés, núm. 1, 7ª planta. 08020 – Barcelona</w:t>
    </w:r>
  </w:p>
  <w:p w14:paraId="2CCA8BE3" w14:textId="77777777" w:rsidR="00646021" w:rsidRPr="009548E3" w:rsidRDefault="00646021" w:rsidP="00646021">
    <w:pPr>
      <w:tabs>
        <w:tab w:val="center" w:pos="4252"/>
        <w:tab w:val="right" w:pos="8504"/>
      </w:tabs>
      <w:jc w:val="center"/>
      <w:rPr>
        <w:color w:val="A20000"/>
        <w:sz w:val="16"/>
        <w:szCs w:val="16"/>
      </w:rPr>
    </w:pPr>
    <w:r w:rsidRPr="009548E3">
      <w:rPr>
        <w:rFonts w:ascii="Calibri" w:eastAsia="Calibri" w:hAnsi="Calibri" w:cs="Calibri"/>
        <w:color w:val="A20000"/>
        <w:sz w:val="16"/>
        <w:szCs w:val="16"/>
      </w:rPr>
      <w:t xml:space="preserve">Telf. 932781842 - </w:t>
    </w:r>
    <w:hyperlink r:id="rId1" w:history="1">
      <w:r w:rsidRPr="009548E3">
        <w:rPr>
          <w:rStyle w:val="Hipervnculo"/>
          <w:rFonts w:ascii="Calibri" w:eastAsia="Calibri" w:hAnsi="Calibri" w:cs="Calibri"/>
          <w:sz w:val="16"/>
          <w:szCs w:val="16"/>
        </w:rPr>
        <w:t>accessibilitat@fesoca.org</w:t>
      </w:r>
    </w:hyperlink>
  </w:p>
  <w:p w14:paraId="71653E35" w14:textId="3A9AF46D" w:rsidR="00646021" w:rsidRPr="009548E3" w:rsidRDefault="00646021" w:rsidP="00646021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 w:rsidRPr="009548E3">
      <w:rPr>
        <w:rFonts w:ascii="Calibri" w:eastAsia="Calibri" w:hAnsi="Calibri" w:cs="Calibri"/>
        <w:color w:val="A20000"/>
        <w:sz w:val="16"/>
        <w:szCs w:val="16"/>
      </w:rPr>
      <w:t>Entitat declarada d’utilitat pública - CIF: G086219</w:t>
    </w:r>
    <w:r w:rsidR="00BE7916" w:rsidRPr="009548E3">
      <w:rPr>
        <w:rFonts w:ascii="Calibri" w:eastAsia="Calibri" w:hAnsi="Calibri" w:cs="Calibri"/>
        <w:color w:val="A20000"/>
        <w:sz w:val="16"/>
        <w:szCs w:val="16"/>
      </w:rPr>
      <w:t>2</w:t>
    </w:r>
    <w:r w:rsidRPr="009548E3">
      <w:rPr>
        <w:rFonts w:ascii="Calibri" w:eastAsia="Calibri" w:hAnsi="Calibri" w:cs="Calibri"/>
        <w:color w:val="A20000"/>
        <w:sz w:val="16"/>
        <w:szCs w:val="16"/>
      </w:rPr>
      <w:t>2</w:t>
    </w:r>
  </w:p>
  <w:p w14:paraId="257E76A5" w14:textId="0A2F9AD7" w:rsidR="00646021" w:rsidRDefault="00646021">
    <w:pPr>
      <w:pStyle w:val="Piedepgina"/>
      <w:jc w:val="right"/>
    </w:pPr>
    <w:r>
      <w:rPr>
        <w:color w:val="4F81BD" w:themeColor="accent1"/>
        <w:sz w:val="20"/>
        <w:szCs w:val="20"/>
        <w:lang w:val="es-ES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4834FB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14:paraId="07BCF892" w14:textId="288126C2" w:rsidR="000658FF" w:rsidRPr="00846129" w:rsidRDefault="000658FF" w:rsidP="0082540D">
    <w:pPr>
      <w:pStyle w:val="Piedepgina"/>
      <w:tabs>
        <w:tab w:val="clear" w:pos="4252"/>
        <w:tab w:val="clear" w:pos="8504"/>
        <w:tab w:val="right" w:pos="9360"/>
      </w:tabs>
      <w:spacing w:line="180" w:lineRule="exact"/>
      <w:ind w:left="1021" w:right="1021"/>
      <w:jc w:val="center"/>
      <w:rPr>
        <w:rFonts w:ascii="Arial Narrow" w:hAnsi="Arial Narrow" w:cs="Arial"/>
        <w:color w:val="8C2634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9685" w14:textId="77777777" w:rsidR="00C4121A" w:rsidRDefault="00C4121A">
      <w:r>
        <w:separator/>
      </w:r>
    </w:p>
  </w:footnote>
  <w:footnote w:type="continuationSeparator" w:id="0">
    <w:p w14:paraId="2F532228" w14:textId="77777777" w:rsidR="00C4121A" w:rsidRDefault="00C4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6E8F" w14:textId="48C928D6" w:rsidR="000658FF" w:rsidRDefault="008A4151" w:rsidP="004063A5">
    <w:pPr>
      <w:pStyle w:val="Encabezado"/>
      <w:jc w:val="center"/>
    </w:pPr>
    <w:r>
      <w:rPr>
        <w:rFonts w:ascii="Arial Narrow" w:hAnsi="Arial Narrow"/>
        <w:noProof/>
        <w:color w:val="922431"/>
        <w:spacing w:val="28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467F13" wp14:editId="4C85C1BC">
              <wp:simplePos x="0" y="0"/>
              <wp:positionH relativeFrom="column">
                <wp:posOffset>-2424430</wp:posOffset>
              </wp:positionH>
              <wp:positionV relativeFrom="paragraph">
                <wp:posOffset>5415915</wp:posOffset>
              </wp:positionV>
              <wp:extent cx="3720465" cy="238125"/>
              <wp:effectExtent l="254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72046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322D" w14:textId="77777777" w:rsidR="000658FF" w:rsidRPr="0082540D" w:rsidRDefault="000658FF">
                          <w:pPr>
                            <w:rPr>
                              <w:rFonts w:ascii="Arial Narrow" w:hAnsi="Arial Narrow" w:cs="Arial"/>
                              <w:color w:val="8C2634"/>
                              <w:sz w:val="10"/>
                              <w:szCs w:val="10"/>
                            </w:rPr>
                          </w:pPr>
                          <w:r w:rsidRPr="0082540D">
                            <w:rPr>
                              <w:rFonts w:ascii="Arial Narrow" w:hAnsi="Arial Narrow" w:cs="Arial"/>
                              <w:color w:val="8C2634"/>
                              <w:spacing w:val="28"/>
                              <w:sz w:val="11"/>
                              <w:szCs w:val="11"/>
                            </w:rPr>
                            <w:t xml:space="preserve">CIF: G-08621922  -   </w:t>
                          </w:r>
                          <w:r w:rsidRPr="0082540D">
                            <w:rPr>
                              <w:rFonts w:ascii="Arial Narrow" w:hAnsi="Arial Narrow" w:cs="Arial"/>
                              <w:color w:val="8C2634"/>
                              <w:spacing w:val="28"/>
                              <w:sz w:val="10"/>
                              <w:szCs w:val="10"/>
                            </w:rPr>
                            <w:t>DECLARADA D’UTILITAT PÚBLICA L’11 D’OCTUBRE 2006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67F13" id="Rectangle 10" o:spid="_x0000_s1026" style="position:absolute;left:0;text-align:left;margin-left:-190.9pt;margin-top:426.45pt;width:292.95pt;height:18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" stroked="f">
              <v:textbox style="layout-flow:vertical;mso-layout-flow-alt:bottom-to-top">
                <w:txbxContent>
                  <w:p w14:paraId="06C9322D" w14:textId="77777777" w:rsidR="000658FF" w:rsidRPr="0082540D" w:rsidRDefault="000658FF">
                    <w:pPr>
                      <w:rPr>
                        <w:rFonts w:ascii="Arial Narrow" w:hAnsi="Arial Narrow" w:cs="Arial"/>
                        <w:color w:val="8C2634"/>
                        <w:sz w:val="10"/>
                        <w:szCs w:val="10"/>
                      </w:rPr>
                    </w:pPr>
                    <w:r w:rsidRPr="0082540D">
                      <w:rPr>
                        <w:rFonts w:ascii="Arial Narrow" w:hAnsi="Arial Narrow" w:cs="Arial"/>
                        <w:color w:val="8C2634"/>
                        <w:spacing w:val="28"/>
                        <w:sz w:val="11"/>
                        <w:szCs w:val="11"/>
                      </w:rPr>
                      <w:t xml:space="preserve">CIF: G-08621922  -   </w:t>
                    </w:r>
                    <w:r w:rsidRPr="0082540D">
                      <w:rPr>
                        <w:rFonts w:ascii="Arial Narrow" w:hAnsi="Arial Narrow" w:cs="Arial"/>
                        <w:color w:val="8C2634"/>
                        <w:spacing w:val="28"/>
                        <w:sz w:val="10"/>
                        <w:szCs w:val="10"/>
                      </w:rPr>
                      <w:t>DECLARADA D’UTILITAT PÚBLICA L’11 D’OCTUBRE 2006</w:t>
                    </w:r>
                  </w:p>
                </w:txbxContent>
              </v:textbox>
            </v:rect>
          </w:pict>
        </mc:Fallback>
      </mc:AlternateContent>
    </w:r>
    <w:r w:rsidR="000658FF">
      <w:rPr>
        <w:noProof/>
        <w:lang w:val="es-ES"/>
      </w:rPr>
      <w:drawing>
        <wp:inline distT="0" distB="0" distL="0" distR="0" wp14:anchorId="42662E3A" wp14:editId="6508343F">
          <wp:extent cx="1095375" cy="1057275"/>
          <wp:effectExtent l="0" t="0" r="9525" b="9525"/>
          <wp:docPr id="6" name="Imagen 6" descr="logo Fesoca ROJO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esoca ROJO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5D6"/>
    <w:multiLevelType w:val="hybridMultilevel"/>
    <w:tmpl w:val="CB0879FC"/>
    <w:lvl w:ilvl="0" w:tplc="A7E2233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A7E2233C"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0C410F"/>
    <w:multiLevelType w:val="hybridMultilevel"/>
    <w:tmpl w:val="46B61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B37"/>
    <w:multiLevelType w:val="multilevel"/>
    <w:tmpl w:val="9724DA0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94790C"/>
    <w:multiLevelType w:val="hybridMultilevel"/>
    <w:tmpl w:val="42F413F0"/>
    <w:lvl w:ilvl="0" w:tplc="C36EE70C">
      <w:start w:val="1"/>
      <w:numFmt w:val="bullet"/>
      <w:lvlText w:val=""/>
      <w:lvlJc w:val="left"/>
      <w:pPr>
        <w:ind w:left="330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4" w15:restartNumberingAfterBreak="0">
    <w:nsid w:val="25A02524"/>
    <w:multiLevelType w:val="hybridMultilevel"/>
    <w:tmpl w:val="0576D1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6FEC"/>
    <w:multiLevelType w:val="hybridMultilevel"/>
    <w:tmpl w:val="07826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8FD"/>
    <w:multiLevelType w:val="hybridMultilevel"/>
    <w:tmpl w:val="94C240CC"/>
    <w:lvl w:ilvl="0" w:tplc="2774064C">
      <w:start w:val="1"/>
      <w:numFmt w:val="bullet"/>
      <w:lvlText w:val=""/>
      <w:lvlJc w:val="left"/>
      <w:pPr>
        <w:tabs>
          <w:tab w:val="num" w:pos="-360"/>
        </w:tabs>
        <w:ind w:left="720" w:hanging="360"/>
      </w:pPr>
      <w:rPr>
        <w:rFonts w:ascii="Wingdings" w:hAnsi="Wingdings" w:cs="Symbol" w:hint="default"/>
        <w:b w:val="0"/>
        <w:bCs w:val="0"/>
        <w:i w:val="0"/>
        <w:iCs w:val="0"/>
        <w:strike w:val="0"/>
        <w:color w:val="584658"/>
        <w:sz w:val="18"/>
        <w:szCs w:val="16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194F"/>
    <w:multiLevelType w:val="multilevel"/>
    <w:tmpl w:val="0C0A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36FF24D1"/>
    <w:multiLevelType w:val="hybridMultilevel"/>
    <w:tmpl w:val="221E2254"/>
    <w:lvl w:ilvl="0" w:tplc="BE3EE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4480"/>
    <w:multiLevelType w:val="hybridMultilevel"/>
    <w:tmpl w:val="6A549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43AA"/>
    <w:multiLevelType w:val="hybridMultilevel"/>
    <w:tmpl w:val="251C25FA"/>
    <w:lvl w:ilvl="0" w:tplc="2774064C">
      <w:start w:val="1"/>
      <w:numFmt w:val="bullet"/>
      <w:lvlText w:val=""/>
      <w:lvlJc w:val="left"/>
      <w:pPr>
        <w:tabs>
          <w:tab w:val="num" w:pos="-360"/>
        </w:tabs>
        <w:ind w:left="720" w:hanging="360"/>
      </w:pPr>
      <w:rPr>
        <w:rFonts w:ascii="Wingdings" w:hAnsi="Wingdings" w:cs="Symbol" w:hint="default"/>
        <w:b w:val="0"/>
        <w:bCs w:val="0"/>
        <w:i w:val="0"/>
        <w:iCs w:val="0"/>
        <w:strike w:val="0"/>
        <w:color w:val="584658"/>
        <w:sz w:val="18"/>
        <w:szCs w:val="16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972"/>
    <w:multiLevelType w:val="multilevel"/>
    <w:tmpl w:val="4D040A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D81DF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514010"/>
    <w:multiLevelType w:val="hybridMultilevel"/>
    <w:tmpl w:val="D23AA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E84"/>
    <w:multiLevelType w:val="hybridMultilevel"/>
    <w:tmpl w:val="541C4E96"/>
    <w:lvl w:ilvl="0" w:tplc="BFE2BA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2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A"/>
    <w:rsid w:val="00044D39"/>
    <w:rsid w:val="000658FF"/>
    <w:rsid w:val="000776E2"/>
    <w:rsid w:val="00092FEB"/>
    <w:rsid w:val="00093E9A"/>
    <w:rsid w:val="000A2FC6"/>
    <w:rsid w:val="000A3F26"/>
    <w:rsid w:val="000B042C"/>
    <w:rsid w:val="000D6E1E"/>
    <w:rsid w:val="000E3C86"/>
    <w:rsid w:val="001133E5"/>
    <w:rsid w:val="00113C82"/>
    <w:rsid w:val="00114449"/>
    <w:rsid w:val="0011748B"/>
    <w:rsid w:val="0012193B"/>
    <w:rsid w:val="00130C4E"/>
    <w:rsid w:val="00131509"/>
    <w:rsid w:val="00131C73"/>
    <w:rsid w:val="001478D1"/>
    <w:rsid w:val="00162091"/>
    <w:rsid w:val="001844AF"/>
    <w:rsid w:val="001B256B"/>
    <w:rsid w:val="001B3B26"/>
    <w:rsid w:val="001E3431"/>
    <w:rsid w:val="002153C1"/>
    <w:rsid w:val="002444F3"/>
    <w:rsid w:val="0026167F"/>
    <w:rsid w:val="00270CD1"/>
    <w:rsid w:val="00274996"/>
    <w:rsid w:val="00290F61"/>
    <w:rsid w:val="002D34C3"/>
    <w:rsid w:val="002D3BBE"/>
    <w:rsid w:val="002E3D6A"/>
    <w:rsid w:val="002F162E"/>
    <w:rsid w:val="003038F1"/>
    <w:rsid w:val="00335D5B"/>
    <w:rsid w:val="00366FEF"/>
    <w:rsid w:val="00375C22"/>
    <w:rsid w:val="00381EB9"/>
    <w:rsid w:val="003A0711"/>
    <w:rsid w:val="003A32EB"/>
    <w:rsid w:val="003B2DAA"/>
    <w:rsid w:val="003C27A2"/>
    <w:rsid w:val="003C2C50"/>
    <w:rsid w:val="003C41C2"/>
    <w:rsid w:val="003C5CB8"/>
    <w:rsid w:val="003C7718"/>
    <w:rsid w:val="00400FD1"/>
    <w:rsid w:val="004031E0"/>
    <w:rsid w:val="004063A5"/>
    <w:rsid w:val="0043017D"/>
    <w:rsid w:val="00430269"/>
    <w:rsid w:val="00441B74"/>
    <w:rsid w:val="0045431B"/>
    <w:rsid w:val="00461535"/>
    <w:rsid w:val="00476925"/>
    <w:rsid w:val="00476950"/>
    <w:rsid w:val="004834FB"/>
    <w:rsid w:val="004B44DA"/>
    <w:rsid w:val="004D274A"/>
    <w:rsid w:val="004D2F5C"/>
    <w:rsid w:val="00500723"/>
    <w:rsid w:val="0052727E"/>
    <w:rsid w:val="00531F9F"/>
    <w:rsid w:val="005619A6"/>
    <w:rsid w:val="00597CEF"/>
    <w:rsid w:val="005A1316"/>
    <w:rsid w:val="005C553C"/>
    <w:rsid w:val="00632E12"/>
    <w:rsid w:val="00645452"/>
    <w:rsid w:val="00646021"/>
    <w:rsid w:val="00647271"/>
    <w:rsid w:val="00657582"/>
    <w:rsid w:val="00660B33"/>
    <w:rsid w:val="0069282B"/>
    <w:rsid w:val="00696D6B"/>
    <w:rsid w:val="006A5C90"/>
    <w:rsid w:val="006C3D77"/>
    <w:rsid w:val="006D5261"/>
    <w:rsid w:val="006F4579"/>
    <w:rsid w:val="007421E3"/>
    <w:rsid w:val="00753267"/>
    <w:rsid w:val="0079183A"/>
    <w:rsid w:val="007B10DC"/>
    <w:rsid w:val="007D0074"/>
    <w:rsid w:val="007D2926"/>
    <w:rsid w:val="007D3C2C"/>
    <w:rsid w:val="007F270F"/>
    <w:rsid w:val="008017A3"/>
    <w:rsid w:val="00803324"/>
    <w:rsid w:val="008068FC"/>
    <w:rsid w:val="0082540D"/>
    <w:rsid w:val="00826B5D"/>
    <w:rsid w:val="00837BB9"/>
    <w:rsid w:val="00846129"/>
    <w:rsid w:val="00855A23"/>
    <w:rsid w:val="008A4151"/>
    <w:rsid w:val="008B3F99"/>
    <w:rsid w:val="008B7E79"/>
    <w:rsid w:val="008C1BED"/>
    <w:rsid w:val="008D7AC4"/>
    <w:rsid w:val="008F5A7C"/>
    <w:rsid w:val="009062A6"/>
    <w:rsid w:val="0091457C"/>
    <w:rsid w:val="00915A78"/>
    <w:rsid w:val="009209D1"/>
    <w:rsid w:val="00927911"/>
    <w:rsid w:val="009424B8"/>
    <w:rsid w:val="009430C4"/>
    <w:rsid w:val="009548E3"/>
    <w:rsid w:val="0095707F"/>
    <w:rsid w:val="00957AA6"/>
    <w:rsid w:val="00972ECE"/>
    <w:rsid w:val="009773F7"/>
    <w:rsid w:val="00984214"/>
    <w:rsid w:val="00991219"/>
    <w:rsid w:val="009B0DEA"/>
    <w:rsid w:val="009B187B"/>
    <w:rsid w:val="009C5D18"/>
    <w:rsid w:val="009C7A92"/>
    <w:rsid w:val="009F4F51"/>
    <w:rsid w:val="00A12586"/>
    <w:rsid w:val="00A21E2F"/>
    <w:rsid w:val="00A43F67"/>
    <w:rsid w:val="00A50D05"/>
    <w:rsid w:val="00A62215"/>
    <w:rsid w:val="00AA66F1"/>
    <w:rsid w:val="00AC09C0"/>
    <w:rsid w:val="00AC6ADF"/>
    <w:rsid w:val="00AD1AAC"/>
    <w:rsid w:val="00AD1B5B"/>
    <w:rsid w:val="00AD40E0"/>
    <w:rsid w:val="00B2174D"/>
    <w:rsid w:val="00B42235"/>
    <w:rsid w:val="00B42990"/>
    <w:rsid w:val="00B57295"/>
    <w:rsid w:val="00B8568C"/>
    <w:rsid w:val="00BB2B90"/>
    <w:rsid w:val="00BD782D"/>
    <w:rsid w:val="00BE13D3"/>
    <w:rsid w:val="00BE7916"/>
    <w:rsid w:val="00BF61FB"/>
    <w:rsid w:val="00C07732"/>
    <w:rsid w:val="00C1561D"/>
    <w:rsid w:val="00C4121A"/>
    <w:rsid w:val="00C67086"/>
    <w:rsid w:val="00C73CFE"/>
    <w:rsid w:val="00C81D44"/>
    <w:rsid w:val="00C85385"/>
    <w:rsid w:val="00CA224C"/>
    <w:rsid w:val="00CA24C1"/>
    <w:rsid w:val="00CA2602"/>
    <w:rsid w:val="00CB3B8D"/>
    <w:rsid w:val="00CE4C18"/>
    <w:rsid w:val="00CF1E3B"/>
    <w:rsid w:val="00CF38F3"/>
    <w:rsid w:val="00D11CD9"/>
    <w:rsid w:val="00D13767"/>
    <w:rsid w:val="00D20DC6"/>
    <w:rsid w:val="00D44A3C"/>
    <w:rsid w:val="00D70C2A"/>
    <w:rsid w:val="00D96443"/>
    <w:rsid w:val="00DA6D08"/>
    <w:rsid w:val="00DB131A"/>
    <w:rsid w:val="00DB3795"/>
    <w:rsid w:val="00DB4727"/>
    <w:rsid w:val="00DB4A94"/>
    <w:rsid w:val="00DC3492"/>
    <w:rsid w:val="00DD77A9"/>
    <w:rsid w:val="00DE1CC4"/>
    <w:rsid w:val="00DE4B46"/>
    <w:rsid w:val="00DE4CB3"/>
    <w:rsid w:val="00DF1076"/>
    <w:rsid w:val="00E13654"/>
    <w:rsid w:val="00E1762D"/>
    <w:rsid w:val="00E26751"/>
    <w:rsid w:val="00E34617"/>
    <w:rsid w:val="00E35028"/>
    <w:rsid w:val="00E54D95"/>
    <w:rsid w:val="00E72633"/>
    <w:rsid w:val="00EA41F9"/>
    <w:rsid w:val="00EC308D"/>
    <w:rsid w:val="00EE0510"/>
    <w:rsid w:val="00EE1630"/>
    <w:rsid w:val="00F06DDE"/>
    <w:rsid w:val="00F421E9"/>
    <w:rsid w:val="00F4743C"/>
    <w:rsid w:val="00F84F6A"/>
    <w:rsid w:val="00FB0041"/>
    <w:rsid w:val="00FB0D69"/>
    <w:rsid w:val="00FB2A54"/>
    <w:rsid w:val="00FC06B3"/>
    <w:rsid w:val="00FD10B7"/>
    <w:rsid w:val="00FD6053"/>
    <w:rsid w:val="00FE4D40"/>
    <w:rsid w:val="00FF14C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89DD64"/>
  <w15:docId w15:val="{5860C301-0EC2-4525-BB8E-AD7DF55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2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3F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3F2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0A3F26"/>
    <w:rPr>
      <w:color w:val="0000FF"/>
      <w:u w:val="single"/>
    </w:rPr>
  </w:style>
  <w:style w:type="character" w:styleId="Hipervnculovisitado">
    <w:name w:val="FollowedHyperlink"/>
    <w:basedOn w:val="Fuentedeprrafopredeter"/>
    <w:rsid w:val="000A3F2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25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540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645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5CB8"/>
    <w:pPr>
      <w:jc w:val="both"/>
    </w:pPr>
    <w:rPr>
      <w:rFonts w:ascii="Calibri" w:eastAsiaTheme="minorHAnsi" w:hAnsi="Calibr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6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87B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500723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E13654"/>
    <w:rPr>
      <w:b/>
      <w:bCs/>
    </w:rPr>
  </w:style>
  <w:style w:type="paragraph" w:styleId="HTMLconformatoprevio">
    <w:name w:val="HTML Preformatted"/>
    <w:basedOn w:val="Normal"/>
    <w:link w:val="HTMLconformatoprevioCar"/>
    <w:unhideWhenUsed/>
    <w:rsid w:val="00303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38F1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3038F1"/>
  </w:style>
  <w:style w:type="paragraph" w:customStyle="1" w:styleId="Standard">
    <w:name w:val="Standard"/>
    <w:rsid w:val="00E3502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lang w:eastAsia="en-US"/>
    </w:rPr>
  </w:style>
  <w:style w:type="character" w:customStyle="1" w:styleId="Internetlink">
    <w:name w:val="Internet link"/>
    <w:basedOn w:val="Fuentedeprrafopredeter"/>
    <w:rsid w:val="00E35028"/>
    <w:rPr>
      <w:color w:val="0000FF"/>
      <w:u w:val="single"/>
    </w:rPr>
  </w:style>
  <w:style w:type="numbering" w:customStyle="1" w:styleId="WWNum4">
    <w:name w:val="WWNum4"/>
    <w:basedOn w:val="Sinlista"/>
    <w:rsid w:val="00E3502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adaptabit/wcag21/" TargetMode="External"/><Relationship Id="rId13" Type="http://schemas.openxmlformats.org/officeDocument/2006/relationships/hyperlink" Target="https://www.ub.edu/adaptabit/wcag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lengua.gencat.cat/web/.content/documents/publicacions/publicacions_en_linia/arxius/guia-llenguatge-inclusi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engua.gencat.cat/web/.content/documents/publicacions/publicacions_en_linia/arxius/guia-llenguatge-inclusi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hj.es/es-es/ciudadano/Atencionalciudadano/Documents/Tr%C3%ADptico%20Lenguaje%20Inclusivo%20CH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TR/2018/REC-WCAG21-20180605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at@feso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E2D3-E84D-479D-BEA6-30212A2E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A LAS ASOCIACIONES</vt:lpstr>
    </vt:vector>
  </TitlesOfParts>
  <Company>Fesoca</Company>
  <LinksUpToDate>false</LinksUpToDate>
  <CharactersWithSpaces>7506</CharactersWithSpaces>
  <SharedDoc>false</SharedDoc>
  <HLinks>
    <vt:vector size="6" baseType="variant">
      <vt:variant>
        <vt:i4>3604491</vt:i4>
      </vt:variant>
      <vt:variant>
        <vt:i4>3</vt:i4>
      </vt:variant>
      <vt:variant>
        <vt:i4>0</vt:i4>
      </vt:variant>
      <vt:variant>
        <vt:i4>5</vt:i4>
      </vt:variant>
      <vt:variant>
        <vt:lpwstr>mailto:fesoca@fesoca.org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A LAS ASOCIACIONES</dc:title>
  <dc:creator>FESOCA</dc:creator>
  <cp:lastModifiedBy>Accessibilitat FESOCA</cp:lastModifiedBy>
  <cp:revision>21</cp:revision>
  <cp:lastPrinted>2022-11-14T08:07:00Z</cp:lastPrinted>
  <dcterms:created xsi:type="dcterms:W3CDTF">2020-07-06T10:53:00Z</dcterms:created>
  <dcterms:modified xsi:type="dcterms:W3CDTF">2022-11-14T08:08:00Z</dcterms:modified>
</cp:coreProperties>
</file>