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227"/>
        <w:gridCol w:w="6015"/>
      </w:tblGrid>
      <w:tr w:rsidR="009D1148" w:rsidRPr="00C40E0D" w:rsidTr="008C241F">
        <w:tc>
          <w:tcPr>
            <w:tcW w:w="3227" w:type="dxa"/>
            <w:shd w:val="clear" w:color="auto" w:fill="D9D9D9" w:themeFill="background1" w:themeFillShade="D9"/>
          </w:tcPr>
          <w:p w:rsidR="009D1148" w:rsidRPr="00C40E0D" w:rsidRDefault="009D1148" w:rsidP="00D71934">
            <w:r>
              <w:t>Allowed Characters</w:t>
            </w:r>
          </w:p>
        </w:tc>
        <w:tc>
          <w:tcPr>
            <w:tcW w:w="6015" w:type="dxa"/>
            <w:shd w:val="clear" w:color="auto" w:fill="D9D9D9" w:themeFill="background1" w:themeFillShade="D9"/>
          </w:tcPr>
          <w:p w:rsidR="009D1148" w:rsidRPr="00C40E0D" w:rsidRDefault="008C241F" w:rsidP="00D71934">
            <w:r>
              <w:t xml:space="preserve">This </w:t>
            </w:r>
            <w:r w:rsidRPr="008C241F">
              <w:t>data category is used to specify the characters that are permitted in a given piece of content</w:t>
            </w:r>
          </w:p>
        </w:tc>
      </w:tr>
      <w:tr w:rsidR="00C40E0D" w:rsidRPr="00C40E0D" w:rsidTr="008C241F">
        <w:tc>
          <w:tcPr>
            <w:tcW w:w="3227" w:type="dxa"/>
          </w:tcPr>
          <w:p w:rsidR="00C40E0D" w:rsidRPr="00C40E0D" w:rsidRDefault="00AF10F1" w:rsidP="00D71934">
            <w:proofErr w:type="spellStart"/>
            <w:r>
              <w:t>allowedC</w:t>
            </w:r>
            <w:r w:rsidR="00C40E0D" w:rsidRPr="00C40E0D">
              <w:t>haracters</w:t>
            </w:r>
            <w:proofErr w:type="spellEnd"/>
          </w:p>
        </w:tc>
        <w:tc>
          <w:tcPr>
            <w:tcW w:w="6015" w:type="dxa"/>
          </w:tcPr>
          <w:p w:rsidR="00C40E0D" w:rsidRPr="00C40E0D" w:rsidRDefault="008C241F" w:rsidP="00476C66">
            <w:r>
              <w:t>C</w:t>
            </w:r>
            <w:r w:rsidRPr="008C241F">
              <w:t>ontains the regular expression indicating</w:t>
            </w:r>
            <w:r w:rsidR="00476C66" w:rsidRPr="00476C66">
              <w:t xml:space="preserve"> characters that are permitted in </w:t>
            </w:r>
            <w:r w:rsidR="00476C66">
              <w:t>the</w:t>
            </w:r>
            <w:r w:rsidR="00476C66" w:rsidRPr="00476C66">
              <w:t xml:space="preserve"> </w:t>
            </w:r>
            <w:r w:rsidR="00F2009E">
              <w:t xml:space="preserve">annotated </w:t>
            </w:r>
            <w:r w:rsidR="00476C66" w:rsidRPr="00476C66">
              <w:t>content</w:t>
            </w:r>
            <w:r>
              <w:t>.</w:t>
            </w:r>
          </w:p>
        </w:tc>
      </w:tr>
      <w:tr w:rsidR="009D1148" w:rsidRPr="00C40E0D" w:rsidTr="008C241F">
        <w:tc>
          <w:tcPr>
            <w:tcW w:w="3227" w:type="dxa"/>
            <w:shd w:val="clear" w:color="auto" w:fill="D9D9D9" w:themeFill="background1" w:themeFillShade="D9"/>
          </w:tcPr>
          <w:p w:rsidR="009D1148" w:rsidRPr="00C40E0D" w:rsidRDefault="009D1148" w:rsidP="00D71934">
            <w:r>
              <w:t>Sto</w:t>
            </w:r>
            <w:r w:rsidR="00195D70">
              <w:t>r</w:t>
            </w:r>
            <w:r>
              <w:t>age Size</w:t>
            </w:r>
          </w:p>
        </w:tc>
        <w:tc>
          <w:tcPr>
            <w:tcW w:w="6015" w:type="dxa"/>
            <w:shd w:val="clear" w:color="auto" w:fill="D9D9D9" w:themeFill="background1" w:themeFillShade="D9"/>
          </w:tcPr>
          <w:p w:rsidR="009D1148" w:rsidRPr="00C40E0D" w:rsidRDefault="008C241F" w:rsidP="00D71934">
            <w:r>
              <w:t>This d</w:t>
            </w:r>
            <w:r w:rsidRPr="008C241F">
              <w:t>ata category is used to specify the maximum storage size of a given content</w:t>
            </w:r>
          </w:p>
        </w:tc>
      </w:tr>
      <w:tr w:rsidR="008C241F" w:rsidRPr="00C40E0D" w:rsidTr="008C241F">
        <w:tc>
          <w:tcPr>
            <w:tcW w:w="3227" w:type="dxa"/>
          </w:tcPr>
          <w:p w:rsidR="008C241F" w:rsidRPr="00C40E0D" w:rsidRDefault="00AF10F1" w:rsidP="00D71934">
            <w:proofErr w:type="spellStart"/>
            <w:r>
              <w:t>storageS</w:t>
            </w:r>
            <w:r w:rsidR="008C241F">
              <w:t>ize</w:t>
            </w:r>
            <w:proofErr w:type="spellEnd"/>
          </w:p>
        </w:tc>
        <w:tc>
          <w:tcPr>
            <w:tcW w:w="6015" w:type="dxa"/>
          </w:tcPr>
          <w:p w:rsidR="008C241F" w:rsidRPr="00C40E0D" w:rsidRDefault="008C241F" w:rsidP="00F2009E">
            <w:r>
              <w:t>Contains</w:t>
            </w:r>
            <w:r w:rsidRPr="008C241F">
              <w:t xml:space="preserve"> the maximum number of byt</w:t>
            </w:r>
            <w:r w:rsidR="009F570B">
              <w:t xml:space="preserve">es the text of the </w:t>
            </w:r>
            <w:r w:rsidR="00F2009E">
              <w:t>annotated</w:t>
            </w:r>
            <w:r w:rsidR="009F570B">
              <w:t xml:space="preserve"> content</w:t>
            </w:r>
            <w:r w:rsidRPr="008C241F">
              <w:t xml:space="preserve"> is allowed in storage.</w:t>
            </w:r>
          </w:p>
        </w:tc>
      </w:tr>
      <w:tr w:rsidR="009D1148" w:rsidRPr="00C40E0D" w:rsidTr="008C241F">
        <w:tc>
          <w:tcPr>
            <w:tcW w:w="3227" w:type="dxa"/>
          </w:tcPr>
          <w:p w:rsidR="009D1148" w:rsidRPr="00C40E0D" w:rsidRDefault="00AF10F1" w:rsidP="003D6A3C">
            <w:proofErr w:type="spellStart"/>
            <w:r>
              <w:t>storageE</w:t>
            </w:r>
            <w:r w:rsidR="009D1148" w:rsidRPr="00C40E0D">
              <w:t>ncoding</w:t>
            </w:r>
            <w:proofErr w:type="spellEnd"/>
          </w:p>
        </w:tc>
        <w:tc>
          <w:tcPr>
            <w:tcW w:w="6015" w:type="dxa"/>
          </w:tcPr>
          <w:p w:rsidR="009D1148" w:rsidRPr="00C40E0D" w:rsidRDefault="008C241F" w:rsidP="0053109C">
            <w:r>
              <w:t xml:space="preserve"> C</w:t>
            </w:r>
            <w:r w:rsidRPr="008C241F">
              <w:t>ontains the name of the character encoding used to calculate the</w:t>
            </w:r>
            <w:r w:rsidR="0053109C">
              <w:t xml:space="preserve"> number of bytes of the </w:t>
            </w:r>
            <w:r w:rsidR="00F2009E">
              <w:t xml:space="preserve">text in the </w:t>
            </w:r>
            <w:r w:rsidR="0053109C">
              <w:t>annotated</w:t>
            </w:r>
            <w:r w:rsidR="00F2009E">
              <w:t xml:space="preserve"> content</w:t>
            </w:r>
            <w:r w:rsidRPr="008C241F">
              <w:t xml:space="preserve">. </w:t>
            </w:r>
            <w:r w:rsidR="0053109C" w:rsidRPr="0053109C">
              <w:t>This may be used</w:t>
            </w:r>
            <w:r w:rsidR="00F2009E">
              <w:t xml:space="preserve"> in calculating if the</w:t>
            </w:r>
            <w:r w:rsidR="0053109C" w:rsidRPr="0053109C">
              <w:t xml:space="preserve"> text </w:t>
            </w:r>
            <w:r w:rsidR="00F2009E">
              <w:t xml:space="preserve">in the annotated content </w:t>
            </w:r>
            <w:r w:rsidR="0053109C" w:rsidRPr="0053109C">
              <w:t>can be accommodated a specified maximum storage size.</w:t>
            </w:r>
            <w:r w:rsidR="0053109C">
              <w:t xml:space="preserve"> </w:t>
            </w:r>
            <w:r w:rsidRPr="008C241F">
              <w:t>The name MUST be one of the names or aliases listed in the IANA Character Sets registry. The default value is the string "UTF-8".</w:t>
            </w:r>
            <w:r w:rsidR="0053109C">
              <w:t xml:space="preserve"> </w:t>
            </w:r>
          </w:p>
        </w:tc>
      </w:tr>
      <w:tr w:rsidR="008C241F" w:rsidRPr="00C40E0D" w:rsidTr="00A410C0">
        <w:tc>
          <w:tcPr>
            <w:tcW w:w="3227" w:type="dxa"/>
          </w:tcPr>
          <w:p w:rsidR="008C241F" w:rsidRPr="00C40E0D" w:rsidRDefault="00AF10F1" w:rsidP="00A410C0">
            <w:proofErr w:type="spellStart"/>
            <w:r>
              <w:t>lineBreakT</w:t>
            </w:r>
            <w:r w:rsidR="008C241F" w:rsidRPr="00C40E0D">
              <w:t>ype</w:t>
            </w:r>
            <w:proofErr w:type="spellEnd"/>
          </w:p>
        </w:tc>
        <w:tc>
          <w:tcPr>
            <w:tcW w:w="6015" w:type="dxa"/>
          </w:tcPr>
          <w:p w:rsidR="008C241F" w:rsidRPr="00C40E0D" w:rsidRDefault="008C241F" w:rsidP="00A410C0">
            <w:r>
              <w:t xml:space="preserve">Value </w:t>
            </w:r>
            <w:r w:rsidRPr="008C241F">
              <w:t>indicates what type of line breaks the storage uses</w:t>
            </w:r>
            <w:r w:rsidR="0053109C">
              <w:t xml:space="preserve"> for the text</w:t>
            </w:r>
            <w:r w:rsidR="00F2009E">
              <w:t xml:space="preserve"> in the annotated content</w:t>
            </w:r>
            <w:r w:rsidRPr="008C241F">
              <w:t xml:space="preserve">. </w:t>
            </w:r>
            <w:r w:rsidR="0053109C">
              <w:t>This may be used</w:t>
            </w:r>
            <w:r w:rsidR="00F2009E">
              <w:t xml:space="preserve"> in calculating if the</w:t>
            </w:r>
            <w:r w:rsidR="0053109C">
              <w:t xml:space="preserve"> text </w:t>
            </w:r>
            <w:r w:rsidR="00F2009E">
              <w:t xml:space="preserve">in the annotated content </w:t>
            </w:r>
            <w:r w:rsidR="0053109C">
              <w:t xml:space="preserve">can be accommodated a specified maximum storage size. </w:t>
            </w:r>
            <w:r w:rsidRPr="008C241F">
              <w:t>The possible values are: "</w:t>
            </w:r>
            <w:proofErr w:type="spellStart"/>
            <w:r w:rsidRPr="008C241F">
              <w:t>cr</w:t>
            </w:r>
            <w:proofErr w:type="spellEnd"/>
            <w:r w:rsidRPr="008C241F">
              <w:t>" for CARRIAGE RETURN (U+000D), "lf" for LINE FEED (U+000A), or "</w:t>
            </w:r>
            <w:proofErr w:type="spellStart"/>
            <w:r w:rsidRPr="008C241F">
              <w:t>crlf</w:t>
            </w:r>
            <w:proofErr w:type="spellEnd"/>
            <w:r w:rsidRPr="008C241F">
              <w:t>" for CARRIAGE RETURN (U+000D) followed by LINE FEED (U+000A). The default value is "lf".</w:t>
            </w:r>
          </w:p>
        </w:tc>
      </w:tr>
      <w:tr w:rsidR="009D1148" w:rsidRPr="00C40E0D" w:rsidTr="008C241F">
        <w:tc>
          <w:tcPr>
            <w:tcW w:w="3227" w:type="dxa"/>
            <w:shd w:val="clear" w:color="auto" w:fill="D9D9D9" w:themeFill="background1" w:themeFillShade="D9"/>
          </w:tcPr>
          <w:p w:rsidR="009D1148" w:rsidRPr="00C40E0D" w:rsidRDefault="009D1148" w:rsidP="00D71934">
            <w:r>
              <w:t>Domain</w:t>
            </w:r>
          </w:p>
        </w:tc>
        <w:tc>
          <w:tcPr>
            <w:tcW w:w="6015" w:type="dxa"/>
            <w:shd w:val="clear" w:color="auto" w:fill="D9D9D9" w:themeFill="background1" w:themeFillShade="D9"/>
          </w:tcPr>
          <w:p w:rsidR="009D1148" w:rsidRPr="00C40E0D" w:rsidRDefault="008C241F" w:rsidP="00D71934">
            <w:r>
              <w:t xml:space="preserve">This </w:t>
            </w:r>
            <w:r w:rsidRPr="008C241F">
              <w:t>data category is used to identify the topic or subject of content. Such information allows for more relevant linguistic choices during various processes.</w:t>
            </w:r>
          </w:p>
        </w:tc>
      </w:tr>
      <w:tr w:rsidR="008C241F" w:rsidRPr="00C40E0D" w:rsidTr="008C241F">
        <w:tc>
          <w:tcPr>
            <w:tcW w:w="3227" w:type="dxa"/>
          </w:tcPr>
          <w:p w:rsidR="008C241F" w:rsidRDefault="009F570B" w:rsidP="00D71934">
            <w:r>
              <w:t>domains</w:t>
            </w:r>
          </w:p>
        </w:tc>
        <w:tc>
          <w:tcPr>
            <w:tcW w:w="6015" w:type="dxa"/>
          </w:tcPr>
          <w:p w:rsidR="008C241F" w:rsidRDefault="009F570B" w:rsidP="00476C66">
            <w:r>
              <w:t>U</w:t>
            </w:r>
            <w:r w:rsidRPr="009F570B">
              <w:t>sed to identify the topic</w:t>
            </w:r>
            <w:r w:rsidR="00DA4823">
              <w:t>s</w:t>
            </w:r>
            <w:r w:rsidRPr="009F570B">
              <w:t xml:space="preserve"> or subject</w:t>
            </w:r>
            <w:r w:rsidR="00DA4823">
              <w:t>s</w:t>
            </w:r>
            <w:r w:rsidRPr="009F570B">
              <w:t xml:space="preserve"> of content. </w:t>
            </w:r>
            <w:r w:rsidR="00DA4823" w:rsidRPr="00DA4823">
              <w:t xml:space="preserve">Value is a space </w:t>
            </w:r>
            <w:r w:rsidR="00DA4823">
              <w:t>separated list of strings each repres</w:t>
            </w:r>
            <w:r w:rsidR="00476C66">
              <w:t xml:space="preserve">enting a topics or subject. Strings containing spaces it must </w:t>
            </w:r>
            <w:r w:rsidR="00476C66" w:rsidRPr="00476C66">
              <w:t xml:space="preserve">delimited by </w:t>
            </w:r>
            <w:r w:rsidR="00476C66">
              <w:t xml:space="preserve">escaped </w:t>
            </w:r>
            <w:r w:rsidR="00476C66" w:rsidRPr="00476C66">
              <w:t xml:space="preserve">quotation marks, that is pairs of APOSTROPHE (U+0027) or QUOTATION MARK (U+0022). </w:t>
            </w:r>
            <w:r w:rsidRPr="009F570B">
              <w:t>Such information allows for more relevant linguistic choices during various processes.</w:t>
            </w:r>
            <w:r>
              <w:t xml:space="preserve"> </w:t>
            </w:r>
          </w:p>
        </w:tc>
      </w:tr>
      <w:tr w:rsidR="009D1148" w:rsidRPr="00C40E0D" w:rsidTr="00AF10F1">
        <w:tc>
          <w:tcPr>
            <w:tcW w:w="3227" w:type="dxa"/>
            <w:shd w:val="clear" w:color="auto" w:fill="D9D9D9" w:themeFill="background1" w:themeFillShade="D9"/>
          </w:tcPr>
          <w:p w:rsidR="009D1148" w:rsidRPr="00C40E0D" w:rsidRDefault="009D1148" w:rsidP="00D71934">
            <w:r>
              <w:t>Localisation Note</w:t>
            </w:r>
          </w:p>
        </w:tc>
        <w:tc>
          <w:tcPr>
            <w:tcW w:w="6015" w:type="dxa"/>
            <w:shd w:val="clear" w:color="auto" w:fill="D9D9D9" w:themeFill="background1" w:themeFillShade="D9"/>
          </w:tcPr>
          <w:p w:rsidR="009D1148" w:rsidRPr="00C40E0D" w:rsidRDefault="008C241F" w:rsidP="00D71934">
            <w:r>
              <w:t xml:space="preserve">This Data Category is </w:t>
            </w:r>
            <w:r w:rsidR="00195D70" w:rsidRPr="00195D70">
              <w:t>used to communicate notes to localizers about a particular item of content.</w:t>
            </w:r>
          </w:p>
        </w:tc>
      </w:tr>
      <w:tr w:rsidR="00C40E0D" w:rsidRPr="00C40E0D" w:rsidTr="008C241F">
        <w:tc>
          <w:tcPr>
            <w:tcW w:w="3227" w:type="dxa"/>
          </w:tcPr>
          <w:p w:rsidR="00C40E0D" w:rsidRPr="00C40E0D" w:rsidRDefault="00476C66" w:rsidP="00D71934">
            <w:proofErr w:type="spellStart"/>
            <w:r>
              <w:t>locN</w:t>
            </w:r>
            <w:r w:rsidR="00C40E0D" w:rsidRPr="00C40E0D">
              <w:t>ote</w:t>
            </w:r>
            <w:proofErr w:type="spellEnd"/>
          </w:p>
        </w:tc>
        <w:tc>
          <w:tcPr>
            <w:tcW w:w="6015" w:type="dxa"/>
          </w:tcPr>
          <w:p w:rsidR="00C40E0D" w:rsidRPr="00C40E0D" w:rsidRDefault="00C40E0D" w:rsidP="00476C66">
            <w:r w:rsidRPr="00C40E0D">
              <w:t xml:space="preserve"> </w:t>
            </w:r>
            <w:r w:rsidR="004F4DF1">
              <w:t>U</w:t>
            </w:r>
            <w:r w:rsidR="00476C66">
              <w:t>se</w:t>
            </w:r>
            <w:r w:rsidR="0053109C">
              <w:t>d</w:t>
            </w:r>
            <w:r w:rsidR="00476C66">
              <w:t xml:space="preserve"> to communicate information about the content to localizers.</w:t>
            </w:r>
          </w:p>
        </w:tc>
      </w:tr>
      <w:tr w:rsidR="00C40E0D" w:rsidRPr="00C40E0D" w:rsidTr="008C241F">
        <w:tc>
          <w:tcPr>
            <w:tcW w:w="3227" w:type="dxa"/>
          </w:tcPr>
          <w:p w:rsidR="00C40E0D" w:rsidRPr="00C40E0D" w:rsidRDefault="00476C66" w:rsidP="00D71934">
            <w:proofErr w:type="spellStart"/>
            <w:r>
              <w:t>locNoteR</w:t>
            </w:r>
            <w:r w:rsidR="00C40E0D" w:rsidRPr="00C40E0D">
              <w:t>ef</w:t>
            </w:r>
            <w:proofErr w:type="spellEnd"/>
          </w:p>
        </w:tc>
        <w:tc>
          <w:tcPr>
            <w:tcW w:w="6015" w:type="dxa"/>
          </w:tcPr>
          <w:p w:rsidR="00C40E0D" w:rsidRPr="00C40E0D" w:rsidRDefault="00C40E0D" w:rsidP="0053109C">
            <w:r w:rsidRPr="00C40E0D">
              <w:t xml:space="preserve"> </w:t>
            </w:r>
            <w:r w:rsidR="00195D70">
              <w:t>A</w:t>
            </w:r>
            <w:r w:rsidR="00F2009E">
              <w:t>n</w:t>
            </w:r>
            <w:r w:rsidR="00476C66">
              <w:t xml:space="preserve"> IRI referring to the location of a</w:t>
            </w:r>
            <w:r w:rsidR="00195D70">
              <w:t xml:space="preserve"> note</w:t>
            </w:r>
            <w:r w:rsidR="0053109C">
              <w:t xml:space="preserve"> </w:t>
            </w:r>
            <w:r w:rsidR="0053109C" w:rsidRPr="0053109C">
              <w:t>used to communicate information about the content to localizers.</w:t>
            </w:r>
          </w:p>
        </w:tc>
      </w:tr>
      <w:tr w:rsidR="00C40E0D" w:rsidRPr="00C40E0D" w:rsidTr="008C241F">
        <w:tc>
          <w:tcPr>
            <w:tcW w:w="3227" w:type="dxa"/>
          </w:tcPr>
          <w:p w:rsidR="00C40E0D" w:rsidRPr="00C40E0D" w:rsidRDefault="00476C66" w:rsidP="00D71934">
            <w:proofErr w:type="spellStart"/>
            <w:r>
              <w:t>locNoteT</w:t>
            </w:r>
            <w:r w:rsidR="00C40E0D" w:rsidRPr="00C40E0D">
              <w:t>ype</w:t>
            </w:r>
            <w:proofErr w:type="spellEnd"/>
          </w:p>
        </w:tc>
        <w:tc>
          <w:tcPr>
            <w:tcW w:w="6015" w:type="dxa"/>
          </w:tcPr>
          <w:p w:rsidR="00C40E0D" w:rsidRPr="00C40E0D" w:rsidRDefault="00C40E0D" w:rsidP="00195D70">
            <w:r w:rsidRPr="00C40E0D">
              <w:t xml:space="preserve"> </w:t>
            </w:r>
            <w:r w:rsidR="0053109C">
              <w:t>Has value ‘alert’ when a localisation note for the annotated content</w:t>
            </w:r>
            <w:r w:rsidR="00195D70">
              <w:t xml:space="preserve"> contains information that the translator has to read before translating a piece of text. Example: an instruction to the translator to leave parts of the text in the source language, or has value ‘description’ when the note  provides useful background information that the translator will refer to only if they wish. Example: a clarification of ambiguity in the source text.</w:t>
            </w:r>
          </w:p>
        </w:tc>
      </w:tr>
      <w:tr w:rsidR="009D1148" w:rsidRPr="00C40E0D" w:rsidTr="00AF10F1">
        <w:tc>
          <w:tcPr>
            <w:tcW w:w="3227" w:type="dxa"/>
            <w:shd w:val="clear" w:color="auto" w:fill="D9D9D9" w:themeFill="background1" w:themeFillShade="D9"/>
          </w:tcPr>
          <w:p w:rsidR="009D1148" w:rsidRPr="00C40E0D" w:rsidRDefault="00195D70" w:rsidP="00D71934">
            <w:r>
              <w:t>Localiz</w:t>
            </w:r>
            <w:r w:rsidR="009D1148">
              <w:t>ation Quality Issue</w:t>
            </w:r>
          </w:p>
        </w:tc>
        <w:tc>
          <w:tcPr>
            <w:tcW w:w="6015" w:type="dxa"/>
            <w:shd w:val="clear" w:color="auto" w:fill="D9D9D9" w:themeFill="background1" w:themeFillShade="D9"/>
          </w:tcPr>
          <w:p w:rsidR="009D1148" w:rsidRPr="00C40E0D" w:rsidRDefault="0053109C" w:rsidP="00D71934">
            <w:r>
              <w:t xml:space="preserve">This </w:t>
            </w:r>
            <w:r w:rsidRPr="0053109C">
              <w:t>data category is used to express information related to localization quality assessment tasks. Such tasks can be conducted on the translation of some source content (such as a text or an image) into a target language or on the source content itself where its quality may impact on the localization process.</w:t>
            </w:r>
          </w:p>
        </w:tc>
      </w:tr>
      <w:tr w:rsidR="003735B1" w:rsidRPr="00C40E0D" w:rsidTr="00E44354">
        <w:tc>
          <w:tcPr>
            <w:tcW w:w="3227" w:type="dxa"/>
            <w:shd w:val="clear" w:color="auto" w:fill="A6A6A6" w:themeFill="background1" w:themeFillShade="A6"/>
          </w:tcPr>
          <w:p w:rsidR="003735B1" w:rsidRDefault="003735B1" w:rsidP="00D71934">
            <w:proofErr w:type="spellStart"/>
            <w:r>
              <w:t>LocQualityIssue</w:t>
            </w:r>
            <w:proofErr w:type="spellEnd"/>
          </w:p>
        </w:tc>
        <w:tc>
          <w:tcPr>
            <w:tcW w:w="6015" w:type="dxa"/>
            <w:shd w:val="clear" w:color="auto" w:fill="A6A6A6" w:themeFill="background1" w:themeFillShade="A6"/>
          </w:tcPr>
          <w:p w:rsidR="003735B1" w:rsidRDefault="003735B1" w:rsidP="00D71934">
            <w:proofErr w:type="gramStart"/>
            <w:r>
              <w:t>An objects</w:t>
            </w:r>
            <w:proofErr w:type="gramEnd"/>
            <w:r>
              <w:t xml:space="preserve"> used to annotate content with details of a </w:t>
            </w:r>
            <w:r>
              <w:lastRenderedPageBreak/>
              <w:t xml:space="preserve">localization quality issue and </w:t>
            </w:r>
            <w:r w:rsidR="00F2009E">
              <w:t>how this issue should be processed.</w:t>
            </w:r>
          </w:p>
        </w:tc>
      </w:tr>
      <w:tr w:rsidR="00C40E0D" w:rsidRPr="00C40E0D" w:rsidTr="008C241F">
        <w:tc>
          <w:tcPr>
            <w:tcW w:w="3227" w:type="dxa"/>
          </w:tcPr>
          <w:p w:rsidR="00C40E0D" w:rsidRPr="00C40E0D" w:rsidRDefault="0053109C" w:rsidP="00D71934">
            <w:proofErr w:type="spellStart"/>
            <w:r>
              <w:lastRenderedPageBreak/>
              <w:t>locQualityIssueC</w:t>
            </w:r>
            <w:r w:rsidR="00C40E0D" w:rsidRPr="00C40E0D">
              <w:t>omment</w:t>
            </w:r>
            <w:proofErr w:type="spellEnd"/>
          </w:p>
        </w:tc>
        <w:tc>
          <w:tcPr>
            <w:tcW w:w="6015" w:type="dxa"/>
          </w:tcPr>
          <w:p w:rsidR="00C40E0D" w:rsidRPr="00C40E0D" w:rsidRDefault="00C40E0D" w:rsidP="00F2009E">
            <w:r w:rsidRPr="00C40E0D">
              <w:t xml:space="preserve"> </w:t>
            </w:r>
            <w:r w:rsidR="003735B1">
              <w:t xml:space="preserve">The </w:t>
            </w:r>
            <w:r w:rsidR="003735B1" w:rsidRPr="003735B1">
              <w:t xml:space="preserve">human-readable description of </w:t>
            </w:r>
            <w:r w:rsidR="00F2009E">
              <w:t>the annotated</w:t>
            </w:r>
            <w:r w:rsidR="003735B1" w:rsidRPr="003735B1">
              <w:t xml:space="preserve"> </w:t>
            </w:r>
            <w:r w:rsidR="003735B1">
              <w:t xml:space="preserve">localization </w:t>
            </w:r>
            <w:r w:rsidR="003735B1" w:rsidRPr="003735B1">
              <w:t>quality issue</w:t>
            </w:r>
            <w:r w:rsidR="00F2009E">
              <w:t>.</w:t>
            </w:r>
          </w:p>
        </w:tc>
      </w:tr>
      <w:tr w:rsidR="00C40E0D" w:rsidRPr="00C40E0D" w:rsidTr="008C241F">
        <w:tc>
          <w:tcPr>
            <w:tcW w:w="3227" w:type="dxa"/>
          </w:tcPr>
          <w:p w:rsidR="00C40E0D" w:rsidRPr="00C40E0D" w:rsidRDefault="0053109C" w:rsidP="00D71934">
            <w:proofErr w:type="spellStart"/>
            <w:r>
              <w:t>locQualityIssueE</w:t>
            </w:r>
            <w:r w:rsidR="00C40E0D" w:rsidRPr="00C40E0D">
              <w:t>nabled</w:t>
            </w:r>
            <w:proofErr w:type="spellEnd"/>
          </w:p>
        </w:tc>
        <w:tc>
          <w:tcPr>
            <w:tcW w:w="6015" w:type="dxa"/>
          </w:tcPr>
          <w:p w:rsidR="00C40E0D" w:rsidRPr="00C40E0D" w:rsidRDefault="00F2009E" w:rsidP="00D71934">
            <w:r w:rsidRPr="00F2009E">
              <w:t xml:space="preserve">A flag indicating whether the </w:t>
            </w:r>
            <w:r w:rsidR="00E44354">
              <w:t xml:space="preserve">annotated </w:t>
            </w:r>
            <w:r>
              <w:t xml:space="preserve">localization quality </w:t>
            </w:r>
            <w:r w:rsidRPr="00F2009E">
              <w:t>issue is enabled or not.</w:t>
            </w:r>
            <w:r>
              <w:t xml:space="preserve"> It has a </w:t>
            </w:r>
            <w:r w:rsidRPr="00F2009E">
              <w:t xml:space="preserve">value </w:t>
            </w:r>
            <w:r>
              <w:t xml:space="preserve">of </w:t>
            </w:r>
            <w:r w:rsidRPr="00F2009E">
              <w:t>yes or no, with the default value being yes.</w:t>
            </w:r>
          </w:p>
        </w:tc>
      </w:tr>
      <w:tr w:rsidR="00C40E0D" w:rsidRPr="00C40E0D" w:rsidTr="008C241F">
        <w:tc>
          <w:tcPr>
            <w:tcW w:w="3227" w:type="dxa"/>
          </w:tcPr>
          <w:p w:rsidR="00C40E0D" w:rsidRPr="00C40E0D" w:rsidRDefault="0053109C" w:rsidP="00D71934">
            <w:proofErr w:type="spellStart"/>
            <w:r>
              <w:t>locQualityIssueProfileR</w:t>
            </w:r>
            <w:r w:rsidR="00C40E0D" w:rsidRPr="00C40E0D">
              <w:t>ef</w:t>
            </w:r>
            <w:proofErr w:type="spellEnd"/>
          </w:p>
        </w:tc>
        <w:tc>
          <w:tcPr>
            <w:tcW w:w="6015" w:type="dxa"/>
          </w:tcPr>
          <w:p w:rsidR="00C40E0D" w:rsidRPr="00C40E0D" w:rsidRDefault="00F2009E" w:rsidP="00F2009E">
            <w:r>
              <w:t xml:space="preserve">An IRI referencing </w:t>
            </w:r>
            <w:r w:rsidRPr="00F2009E">
              <w:t>a description of the quali</w:t>
            </w:r>
            <w:r>
              <w:t xml:space="preserve">ty assessment model </w:t>
            </w:r>
            <w:r w:rsidRPr="00F2009E">
              <w:t>or a specific profile (customization/instantiat</w:t>
            </w:r>
            <w:r>
              <w:t>ion) of a model, where relevant, used for recording and processing the annotated</w:t>
            </w:r>
            <w:r w:rsidRPr="00F2009E">
              <w:t xml:space="preserve"> localization quality issue.</w:t>
            </w:r>
          </w:p>
        </w:tc>
      </w:tr>
      <w:tr w:rsidR="00C40E0D" w:rsidRPr="00C40E0D" w:rsidTr="008C241F">
        <w:tc>
          <w:tcPr>
            <w:tcW w:w="3227" w:type="dxa"/>
          </w:tcPr>
          <w:p w:rsidR="00C40E0D" w:rsidRPr="00C40E0D" w:rsidRDefault="0053109C" w:rsidP="00D71934">
            <w:proofErr w:type="spellStart"/>
            <w:r>
              <w:t>locQualityIssueS</w:t>
            </w:r>
            <w:r w:rsidR="00C40E0D" w:rsidRPr="00C40E0D">
              <w:t>everity</w:t>
            </w:r>
            <w:proofErr w:type="spellEnd"/>
          </w:p>
        </w:tc>
        <w:tc>
          <w:tcPr>
            <w:tcW w:w="6015" w:type="dxa"/>
          </w:tcPr>
          <w:p w:rsidR="00C40E0D" w:rsidRPr="00C40E0D" w:rsidRDefault="00E44354" w:rsidP="00D71934">
            <w:r>
              <w:t>An indicator of</w:t>
            </w:r>
            <w:r w:rsidR="00F2009E" w:rsidRPr="00F2009E">
              <w:t xml:space="preserve"> the seriousness of </w:t>
            </w:r>
            <w:r w:rsidRPr="00E44354">
              <w:t>the annotated localization quality</w:t>
            </w:r>
            <w:r w:rsidR="00F2009E" w:rsidRPr="00F2009E">
              <w:t xml:space="preserve"> issue. The seriousness depends on the Quality Model that is being applied. The Quality Model should be made explicit via the Profile Reference.</w:t>
            </w:r>
            <w:r>
              <w:t xml:space="preserve"> The value is a</w:t>
            </w:r>
            <w:r w:rsidRPr="00E44354">
              <w:t xml:space="preserve"> rational number in the interval 0 to 100 (inclusive).</w:t>
            </w:r>
            <w:r>
              <w:t xml:space="preserve"> </w:t>
            </w:r>
            <w:r w:rsidRPr="00E44354">
              <w:t>The higher values represent greater severity.</w:t>
            </w:r>
          </w:p>
        </w:tc>
      </w:tr>
      <w:tr w:rsidR="00C40E0D" w:rsidRPr="00C40E0D" w:rsidTr="008C241F">
        <w:tc>
          <w:tcPr>
            <w:tcW w:w="3227" w:type="dxa"/>
          </w:tcPr>
          <w:p w:rsidR="00C40E0D" w:rsidRPr="00C40E0D" w:rsidRDefault="003735B1" w:rsidP="00D71934">
            <w:proofErr w:type="spellStart"/>
            <w:r>
              <w:t>locQualityIssueT</w:t>
            </w:r>
            <w:r w:rsidR="00C40E0D" w:rsidRPr="00C40E0D">
              <w:t>ype</w:t>
            </w:r>
            <w:proofErr w:type="spellEnd"/>
          </w:p>
        </w:tc>
        <w:tc>
          <w:tcPr>
            <w:tcW w:w="6015" w:type="dxa"/>
          </w:tcPr>
          <w:p w:rsidR="00C40E0D" w:rsidRPr="00C40E0D" w:rsidRDefault="00E44354" w:rsidP="00E44354">
            <w:r>
              <w:t>A classifier that assigns the annotated</w:t>
            </w:r>
            <w:r w:rsidRPr="00E44354">
              <w:t xml:space="preserve"> localization quality </w:t>
            </w:r>
            <w:r>
              <w:t>issue into a category</w:t>
            </w:r>
            <w:r w:rsidRPr="00E44354">
              <w:t xml:space="preserve"> (for example to differentiate spelling errors from grammar errors).</w:t>
            </w:r>
            <w:r>
              <w:t xml:space="preserve"> The value is one of categories defined at: </w:t>
            </w:r>
            <w:r w:rsidRPr="00E44354">
              <w:t>http://www.w3.org/TR/its20/#lqissue-typevalues</w:t>
            </w:r>
          </w:p>
        </w:tc>
      </w:tr>
      <w:tr w:rsidR="00C40E0D" w:rsidRPr="00C40E0D" w:rsidTr="008C241F">
        <w:tc>
          <w:tcPr>
            <w:tcW w:w="3227" w:type="dxa"/>
          </w:tcPr>
          <w:p w:rsidR="00C40E0D" w:rsidRPr="00C40E0D" w:rsidRDefault="003735B1" w:rsidP="00D71934">
            <w:proofErr w:type="spellStart"/>
            <w:r>
              <w:t>locQualityIssuesR</w:t>
            </w:r>
            <w:r w:rsidR="00C40E0D" w:rsidRPr="00C40E0D">
              <w:t>ef</w:t>
            </w:r>
            <w:proofErr w:type="spellEnd"/>
          </w:p>
        </w:tc>
        <w:tc>
          <w:tcPr>
            <w:tcW w:w="6015" w:type="dxa"/>
          </w:tcPr>
          <w:p w:rsidR="00C40E0D" w:rsidRPr="00C40E0D" w:rsidRDefault="00E44354" w:rsidP="00D71934">
            <w:r>
              <w:t xml:space="preserve">An IRI referencing a </w:t>
            </w:r>
            <w:r w:rsidRPr="00E44354">
              <w:t>localization quality issue</w:t>
            </w:r>
            <w:r>
              <w:t xml:space="preserve"> object relevant to the annotated content.</w:t>
            </w:r>
          </w:p>
        </w:tc>
      </w:tr>
      <w:tr w:rsidR="009D1148" w:rsidRPr="00C40E0D" w:rsidTr="00AF10F1">
        <w:tc>
          <w:tcPr>
            <w:tcW w:w="3227" w:type="dxa"/>
            <w:shd w:val="clear" w:color="auto" w:fill="D9D9D9" w:themeFill="background1" w:themeFillShade="D9"/>
          </w:tcPr>
          <w:p w:rsidR="009D1148" w:rsidRPr="00C40E0D" w:rsidRDefault="00195D70" w:rsidP="00D71934">
            <w:r>
              <w:t>Localization</w:t>
            </w:r>
            <w:r w:rsidR="009D1148">
              <w:t xml:space="preserve"> Quality Rating</w:t>
            </w:r>
          </w:p>
        </w:tc>
        <w:tc>
          <w:tcPr>
            <w:tcW w:w="6015" w:type="dxa"/>
            <w:shd w:val="clear" w:color="auto" w:fill="D9D9D9" w:themeFill="background1" w:themeFillShade="D9"/>
          </w:tcPr>
          <w:p w:rsidR="009D1148" w:rsidRPr="00C40E0D" w:rsidRDefault="004F4DF1" w:rsidP="00D71934">
            <w:r>
              <w:t xml:space="preserve">This </w:t>
            </w:r>
            <w:r w:rsidRPr="004F4DF1">
              <w:t>data category is used to express an overall measurement of the localization quality of a document or an item in a document.</w:t>
            </w:r>
          </w:p>
        </w:tc>
      </w:tr>
      <w:tr w:rsidR="00C40E0D" w:rsidRPr="00C40E0D" w:rsidTr="008C241F">
        <w:tc>
          <w:tcPr>
            <w:tcW w:w="3227" w:type="dxa"/>
          </w:tcPr>
          <w:p w:rsidR="00C40E0D" w:rsidRPr="00C40E0D" w:rsidRDefault="00E44354" w:rsidP="00D71934">
            <w:proofErr w:type="spellStart"/>
            <w:r>
              <w:t>locQualityRatingProfileR</w:t>
            </w:r>
            <w:r w:rsidR="00C40E0D" w:rsidRPr="00C40E0D">
              <w:t>ef</w:t>
            </w:r>
            <w:proofErr w:type="spellEnd"/>
          </w:p>
        </w:tc>
        <w:tc>
          <w:tcPr>
            <w:tcW w:w="6015" w:type="dxa"/>
          </w:tcPr>
          <w:p w:rsidR="00C40E0D" w:rsidRPr="00C40E0D" w:rsidRDefault="004F4DF1" w:rsidP="00D71934">
            <w:r>
              <w:t>A</w:t>
            </w:r>
            <w:r w:rsidRPr="004F4DF1">
              <w:t>n IRI pointing to the reference document describing the quality assessment model used for the scoring</w:t>
            </w:r>
            <w:r>
              <w:t xml:space="preserve"> the localization quality of the annotated content</w:t>
            </w:r>
            <w:r w:rsidRPr="004F4DF1">
              <w:t>.</w:t>
            </w:r>
          </w:p>
        </w:tc>
      </w:tr>
      <w:tr w:rsidR="00C40E0D" w:rsidRPr="00C40E0D" w:rsidTr="008C241F">
        <w:tc>
          <w:tcPr>
            <w:tcW w:w="3227" w:type="dxa"/>
          </w:tcPr>
          <w:p w:rsidR="00C40E0D" w:rsidRPr="00C40E0D" w:rsidRDefault="00E44354" w:rsidP="00D71934">
            <w:proofErr w:type="spellStart"/>
            <w:r>
              <w:t>locQualityRatingS</w:t>
            </w:r>
            <w:r w:rsidR="00C40E0D" w:rsidRPr="00C40E0D">
              <w:t>core</w:t>
            </w:r>
            <w:proofErr w:type="spellEnd"/>
          </w:p>
        </w:tc>
        <w:tc>
          <w:tcPr>
            <w:tcW w:w="6015" w:type="dxa"/>
          </w:tcPr>
          <w:p w:rsidR="00C40E0D" w:rsidRPr="004F4DF1" w:rsidRDefault="004F4DF1" w:rsidP="00D71934">
            <w:r>
              <w:t xml:space="preserve">Used </w:t>
            </w:r>
            <w:r w:rsidRPr="004F4DF1">
              <w:t xml:space="preserve">express an overall measurement of the localization quality </w:t>
            </w:r>
            <w:r>
              <w:t xml:space="preserve">of the annotated content. Its </w:t>
            </w:r>
            <w:r w:rsidRPr="004F4DF1">
              <w:t>value is a rational number in the interval 0 to 100 (inclusive).</w:t>
            </w:r>
            <w:r>
              <w:t xml:space="preserve"> </w:t>
            </w:r>
            <w:r w:rsidRPr="004F4DF1">
              <w:t>The higher values represent better quality.</w:t>
            </w:r>
          </w:p>
        </w:tc>
      </w:tr>
      <w:tr w:rsidR="00C40E0D" w:rsidRPr="00C40E0D" w:rsidTr="008C241F">
        <w:tc>
          <w:tcPr>
            <w:tcW w:w="3227" w:type="dxa"/>
          </w:tcPr>
          <w:p w:rsidR="00C40E0D" w:rsidRPr="00C40E0D" w:rsidRDefault="00E44354" w:rsidP="00D71934">
            <w:proofErr w:type="spellStart"/>
            <w:r>
              <w:t>locQualityRatingScoreT</w:t>
            </w:r>
            <w:r w:rsidR="00C40E0D" w:rsidRPr="00C40E0D">
              <w:t>hreshold</w:t>
            </w:r>
            <w:proofErr w:type="spellEnd"/>
          </w:p>
        </w:tc>
        <w:tc>
          <w:tcPr>
            <w:tcW w:w="6015" w:type="dxa"/>
          </w:tcPr>
          <w:p w:rsidR="00C40E0D" w:rsidRPr="00C40E0D" w:rsidRDefault="004F4DF1" w:rsidP="00D71934">
            <w:r>
              <w:t>Use to indicate</w:t>
            </w:r>
            <w:r w:rsidRPr="004F4DF1">
              <w:t xml:space="preserve"> the lowest score that constitutes a passing score in the profile used</w:t>
            </w:r>
            <w:r>
              <w:t xml:space="preserve"> when rating the localization quality of the annotated content</w:t>
            </w:r>
            <w:r w:rsidRPr="004F4DF1">
              <w:t>. Its value is a rational number in the interval 0 to 100 (inclusive).</w:t>
            </w:r>
          </w:p>
        </w:tc>
      </w:tr>
      <w:tr w:rsidR="00C40E0D" w:rsidRPr="00C40E0D" w:rsidTr="008C241F">
        <w:tc>
          <w:tcPr>
            <w:tcW w:w="3227" w:type="dxa"/>
          </w:tcPr>
          <w:p w:rsidR="00C40E0D" w:rsidRPr="00C40E0D" w:rsidRDefault="00E44354" w:rsidP="00D71934">
            <w:proofErr w:type="spellStart"/>
            <w:r>
              <w:t>locQualityRatingV</w:t>
            </w:r>
            <w:r w:rsidR="00C40E0D" w:rsidRPr="00C40E0D">
              <w:t>ote</w:t>
            </w:r>
            <w:proofErr w:type="spellEnd"/>
          </w:p>
        </w:tc>
        <w:tc>
          <w:tcPr>
            <w:tcW w:w="6015" w:type="dxa"/>
          </w:tcPr>
          <w:p w:rsidR="00C40E0D" w:rsidRPr="00C40E0D" w:rsidRDefault="004F4DF1" w:rsidP="004F4DF1">
            <w:r w:rsidRPr="004F4DF1">
              <w:t xml:space="preserve">Used </w:t>
            </w:r>
            <w:r>
              <w:t xml:space="preserve">express the result of a vote on </w:t>
            </w:r>
            <w:r w:rsidRPr="004F4DF1">
              <w:t>the localization quality of the annotated content. Its value is a signed integer with higher values indicating a better vote.</w:t>
            </w:r>
          </w:p>
        </w:tc>
      </w:tr>
      <w:tr w:rsidR="00C40E0D" w:rsidRPr="00C40E0D" w:rsidTr="008C241F">
        <w:tc>
          <w:tcPr>
            <w:tcW w:w="3227" w:type="dxa"/>
          </w:tcPr>
          <w:p w:rsidR="00C40E0D" w:rsidRPr="00C40E0D" w:rsidRDefault="00E44354" w:rsidP="00D71934">
            <w:proofErr w:type="spellStart"/>
            <w:r>
              <w:t>locQualityRatingV</w:t>
            </w:r>
            <w:r w:rsidR="00C40E0D" w:rsidRPr="00C40E0D">
              <w:t>o</w:t>
            </w:r>
            <w:r>
              <w:t>teT</w:t>
            </w:r>
            <w:r w:rsidR="00C40E0D" w:rsidRPr="00C40E0D">
              <w:t>hreshold</w:t>
            </w:r>
            <w:proofErr w:type="spellEnd"/>
          </w:p>
        </w:tc>
        <w:tc>
          <w:tcPr>
            <w:tcW w:w="6015" w:type="dxa"/>
          </w:tcPr>
          <w:p w:rsidR="00C40E0D" w:rsidRPr="00C40E0D" w:rsidRDefault="004F4DF1" w:rsidP="00D71934">
            <w:r>
              <w:t>Used to indicate</w:t>
            </w:r>
            <w:r w:rsidRPr="004F4DF1">
              <w:t xml:space="preserve"> the lowest value that constitutes a passing vote in the profile used</w:t>
            </w:r>
            <w:r>
              <w:t xml:space="preserve"> when voting on the localization quality of the annotated content</w:t>
            </w:r>
            <w:r w:rsidRPr="004F4DF1">
              <w:t>. Its value is a signed integer.</w:t>
            </w:r>
          </w:p>
        </w:tc>
      </w:tr>
      <w:tr w:rsidR="009D1148" w:rsidRPr="00C40E0D" w:rsidTr="00AF10F1">
        <w:tc>
          <w:tcPr>
            <w:tcW w:w="3227" w:type="dxa"/>
            <w:shd w:val="clear" w:color="auto" w:fill="D9D9D9" w:themeFill="background1" w:themeFillShade="D9"/>
          </w:tcPr>
          <w:p w:rsidR="009D1148" w:rsidRPr="00C40E0D" w:rsidRDefault="009D1148" w:rsidP="00D71934">
            <w:r>
              <w:t>Locale Filter</w:t>
            </w:r>
          </w:p>
        </w:tc>
        <w:tc>
          <w:tcPr>
            <w:tcW w:w="6015" w:type="dxa"/>
            <w:shd w:val="clear" w:color="auto" w:fill="D9D9D9" w:themeFill="background1" w:themeFillShade="D9"/>
          </w:tcPr>
          <w:p w:rsidR="009D1148" w:rsidRPr="00C40E0D" w:rsidRDefault="004F4DF1" w:rsidP="00D71934">
            <w:r>
              <w:t xml:space="preserve">This </w:t>
            </w:r>
            <w:r w:rsidRPr="004F4DF1">
              <w:t>data category specifies that a node is only applicable to certain locales.</w:t>
            </w:r>
          </w:p>
        </w:tc>
      </w:tr>
      <w:tr w:rsidR="00C40E0D" w:rsidRPr="00C40E0D" w:rsidTr="008C241F">
        <w:tc>
          <w:tcPr>
            <w:tcW w:w="3227" w:type="dxa"/>
          </w:tcPr>
          <w:p w:rsidR="00C40E0D" w:rsidRPr="00C40E0D" w:rsidRDefault="007E6EEA" w:rsidP="00D71934">
            <w:proofErr w:type="spellStart"/>
            <w:r>
              <w:t>localeFilterL</w:t>
            </w:r>
            <w:r w:rsidR="00C40E0D" w:rsidRPr="00C40E0D">
              <w:t>ist</w:t>
            </w:r>
            <w:proofErr w:type="spellEnd"/>
          </w:p>
        </w:tc>
        <w:tc>
          <w:tcPr>
            <w:tcW w:w="6015" w:type="dxa"/>
          </w:tcPr>
          <w:p w:rsidR="00C40E0D" w:rsidRPr="00C40E0D" w:rsidRDefault="00C40E0D" w:rsidP="00F91E67">
            <w:r w:rsidRPr="00C40E0D">
              <w:t xml:space="preserve"> </w:t>
            </w:r>
            <w:r w:rsidR="007E6EEA">
              <w:t xml:space="preserve">Used to indicate the locales for which </w:t>
            </w:r>
            <w:r w:rsidR="00F91E67">
              <w:t xml:space="preserve">it is applicable to localize </w:t>
            </w:r>
            <w:r w:rsidR="007E6EEA">
              <w:t xml:space="preserve">the annotated </w:t>
            </w:r>
            <w:r w:rsidR="00F91E67">
              <w:t>content</w:t>
            </w:r>
            <w:r w:rsidR="007E6EEA">
              <w:t xml:space="preserve">. It values is a comma separate list </w:t>
            </w:r>
            <w:r w:rsidR="00C02073">
              <w:t>of extended language ranges conforming to BCP47 (include the ‘*’ character for wildcards), or an empty string.</w:t>
            </w:r>
          </w:p>
        </w:tc>
      </w:tr>
      <w:tr w:rsidR="007E6EEA" w:rsidRPr="00C40E0D" w:rsidTr="008C241F">
        <w:tc>
          <w:tcPr>
            <w:tcW w:w="3227" w:type="dxa"/>
          </w:tcPr>
          <w:p w:rsidR="007E6EEA" w:rsidRDefault="007E6EEA" w:rsidP="00D71934">
            <w:proofErr w:type="spellStart"/>
            <w:r>
              <w:t>localeFilterType</w:t>
            </w:r>
            <w:proofErr w:type="spellEnd"/>
          </w:p>
        </w:tc>
        <w:tc>
          <w:tcPr>
            <w:tcW w:w="6015" w:type="dxa"/>
          </w:tcPr>
          <w:p w:rsidR="007E6EEA" w:rsidRPr="00C40E0D" w:rsidRDefault="007E6EEA" w:rsidP="007E6EEA">
            <w:r>
              <w:t xml:space="preserve">Has value ‘include’ if the annotated content is applicable to the locales specified by a </w:t>
            </w:r>
            <w:proofErr w:type="spellStart"/>
            <w:r>
              <w:t>localeFilterList</w:t>
            </w:r>
            <w:proofErr w:type="spellEnd"/>
            <w:r>
              <w:t xml:space="preserve"> property of the annotated content. Has value ‘exclude’ if the </w:t>
            </w:r>
            <w:r w:rsidRPr="007E6EEA">
              <w:t xml:space="preserve">annotated content is </w:t>
            </w:r>
            <w:r>
              <w:t xml:space="preserve">not </w:t>
            </w:r>
            <w:r w:rsidRPr="007E6EEA">
              <w:lastRenderedPageBreak/>
              <w:t xml:space="preserve">applicable to the locales specified by a </w:t>
            </w:r>
            <w:proofErr w:type="spellStart"/>
            <w:r w:rsidRPr="007E6EEA">
              <w:t>localeFilterList</w:t>
            </w:r>
            <w:proofErr w:type="spellEnd"/>
            <w:r w:rsidRPr="007E6EEA">
              <w:t xml:space="preserve"> property of the annotated content.</w:t>
            </w:r>
          </w:p>
        </w:tc>
      </w:tr>
      <w:tr w:rsidR="009D1148" w:rsidRPr="00C40E0D" w:rsidTr="00AF10F1">
        <w:tc>
          <w:tcPr>
            <w:tcW w:w="3227" w:type="dxa"/>
            <w:shd w:val="clear" w:color="auto" w:fill="D9D9D9" w:themeFill="background1" w:themeFillShade="D9"/>
          </w:tcPr>
          <w:p w:rsidR="009D1148" w:rsidRPr="00C40E0D" w:rsidRDefault="009D1148" w:rsidP="00D71934">
            <w:r>
              <w:lastRenderedPageBreak/>
              <w:t>MT Confidence</w:t>
            </w:r>
          </w:p>
        </w:tc>
        <w:tc>
          <w:tcPr>
            <w:tcW w:w="6015" w:type="dxa"/>
            <w:shd w:val="clear" w:color="auto" w:fill="D9D9D9" w:themeFill="background1" w:themeFillShade="D9"/>
          </w:tcPr>
          <w:p w:rsidR="009D1148" w:rsidRPr="00C40E0D" w:rsidRDefault="00EF3EE5" w:rsidP="00D71934">
            <w:r>
              <w:t xml:space="preserve">This </w:t>
            </w:r>
            <w:r w:rsidRPr="00EF3EE5">
              <w:t>data category is used to communicate the confidence score from a machine translation engine for the accuracy of a translation it has provided.</w:t>
            </w:r>
          </w:p>
        </w:tc>
      </w:tr>
      <w:tr w:rsidR="00C40E0D" w:rsidRPr="00C40E0D" w:rsidTr="008C241F">
        <w:tc>
          <w:tcPr>
            <w:tcW w:w="3227" w:type="dxa"/>
          </w:tcPr>
          <w:p w:rsidR="00C40E0D" w:rsidRPr="00C40E0D" w:rsidRDefault="00C02073" w:rsidP="00D71934">
            <w:proofErr w:type="spellStart"/>
            <w:r>
              <w:t>mtC</w:t>
            </w:r>
            <w:r w:rsidR="00C40E0D" w:rsidRPr="00C40E0D">
              <w:t>onfidence</w:t>
            </w:r>
            <w:proofErr w:type="spellEnd"/>
          </w:p>
        </w:tc>
        <w:tc>
          <w:tcPr>
            <w:tcW w:w="6015" w:type="dxa"/>
          </w:tcPr>
          <w:p w:rsidR="00C40E0D" w:rsidRPr="00C40E0D" w:rsidRDefault="00EF3EE5" w:rsidP="00F91E67">
            <w:r>
              <w:t>U</w:t>
            </w:r>
            <w:r w:rsidRPr="00EF3EE5">
              <w:t>sed to communicate the confidence score from a machine translation engine for the accuracy of a</w:t>
            </w:r>
            <w:r w:rsidR="00F91E67">
              <w:t>n automated</w:t>
            </w:r>
            <w:r w:rsidRPr="00EF3EE5">
              <w:t xml:space="preserve"> translation </w:t>
            </w:r>
            <w:r w:rsidR="00F91E67">
              <w:t>that resulted in the annotated content</w:t>
            </w:r>
            <w:r w:rsidRPr="00EF3EE5">
              <w:t>.</w:t>
            </w:r>
            <w:r>
              <w:t xml:space="preserve"> Its </w:t>
            </w:r>
            <w:r w:rsidRPr="00EF3EE5">
              <w:t xml:space="preserve">value </w:t>
            </w:r>
            <w:r>
              <w:t>i</w:t>
            </w:r>
            <w:r w:rsidRPr="00EF3EE5">
              <w:t>s a rational number in the interval 0 to 1 (inclusive).</w:t>
            </w:r>
          </w:p>
        </w:tc>
      </w:tr>
      <w:tr w:rsidR="00D952AD" w:rsidRPr="00C40E0D" w:rsidTr="008C241F">
        <w:tc>
          <w:tcPr>
            <w:tcW w:w="3227" w:type="dxa"/>
          </w:tcPr>
          <w:p w:rsidR="00D952AD" w:rsidRDefault="00D952AD" w:rsidP="00D71934">
            <w:proofErr w:type="spellStart"/>
            <w:r w:rsidRPr="00D952AD">
              <w:t>mtConfidenceAnnotatorsRef</w:t>
            </w:r>
            <w:proofErr w:type="spellEnd"/>
          </w:p>
        </w:tc>
        <w:tc>
          <w:tcPr>
            <w:tcW w:w="6015" w:type="dxa"/>
          </w:tcPr>
          <w:p w:rsidR="00D952AD" w:rsidRDefault="00FE66DB" w:rsidP="00FE66DB">
            <w:r>
              <w:t xml:space="preserve">An IRI that references the processor that generated the </w:t>
            </w:r>
            <w:proofErr w:type="spellStart"/>
            <w:r>
              <w:t>mtConfidence</w:t>
            </w:r>
            <w:proofErr w:type="spellEnd"/>
            <w:r>
              <w:t xml:space="preserve"> annotation</w:t>
            </w:r>
            <w:r w:rsidR="00F91E67">
              <w:t xml:space="preserve"> </w:t>
            </w:r>
            <w:r w:rsidR="00F91E67" w:rsidRPr="00F91E67">
              <w:t>for the annotated content</w:t>
            </w:r>
            <w:r>
              <w:t xml:space="preserve">. </w:t>
            </w:r>
          </w:p>
        </w:tc>
      </w:tr>
      <w:tr w:rsidR="009D1148" w:rsidRPr="00C40E0D" w:rsidTr="00AF10F1">
        <w:tc>
          <w:tcPr>
            <w:tcW w:w="3227" w:type="dxa"/>
            <w:shd w:val="clear" w:color="auto" w:fill="D9D9D9" w:themeFill="background1" w:themeFillShade="D9"/>
          </w:tcPr>
          <w:p w:rsidR="009D1148" w:rsidRPr="00C40E0D" w:rsidRDefault="009D1148" w:rsidP="00D71934">
            <w:r>
              <w:t>Provenance</w:t>
            </w:r>
          </w:p>
        </w:tc>
        <w:tc>
          <w:tcPr>
            <w:tcW w:w="6015" w:type="dxa"/>
            <w:shd w:val="clear" w:color="auto" w:fill="D9D9D9" w:themeFill="background1" w:themeFillShade="D9"/>
          </w:tcPr>
          <w:p w:rsidR="009D1148" w:rsidRPr="00C40E0D" w:rsidRDefault="002C02EB" w:rsidP="00D71934">
            <w:r>
              <w:t>This d</w:t>
            </w:r>
            <w:r w:rsidRPr="002C02EB">
              <w:t>ata category is used to communicate the identity of agents that have been involved in the translation of the content or the revision of the translated content. This allows translation and translation revision consumers, such as post-editors, translation quality reviewers, or localization workflow managers, to assess how the performance of these agents may impact the quality of the translation. Translation and translation revision agents can be identified as a person, a piece of software or an organization that has been involved in providing a translation that resulted in the selected content.</w:t>
            </w:r>
          </w:p>
        </w:tc>
      </w:tr>
      <w:tr w:rsidR="003735B1" w:rsidRPr="00C40E0D" w:rsidTr="00E44354">
        <w:tc>
          <w:tcPr>
            <w:tcW w:w="3227" w:type="dxa"/>
            <w:shd w:val="clear" w:color="auto" w:fill="A6A6A6" w:themeFill="background1" w:themeFillShade="A6"/>
          </w:tcPr>
          <w:p w:rsidR="003735B1" w:rsidRDefault="003735B1" w:rsidP="00D71934">
            <w:proofErr w:type="spellStart"/>
            <w:r>
              <w:t>ProvRecord</w:t>
            </w:r>
            <w:proofErr w:type="spellEnd"/>
          </w:p>
        </w:tc>
        <w:tc>
          <w:tcPr>
            <w:tcW w:w="6015" w:type="dxa"/>
            <w:shd w:val="clear" w:color="auto" w:fill="A6A6A6" w:themeFill="background1" w:themeFillShade="A6"/>
          </w:tcPr>
          <w:p w:rsidR="003735B1" w:rsidRPr="00C40E0D" w:rsidRDefault="00F2009E" w:rsidP="00D71934">
            <w:r>
              <w:t>An object used to annotate content with details of it provenance related to localization</w:t>
            </w:r>
            <w:r w:rsidR="002C02EB">
              <w:t xml:space="preserve">. </w:t>
            </w:r>
            <w:r w:rsidR="002C02EB" w:rsidRPr="002C02EB">
              <w:t>Translation and translation revision agents can be identified as a person, a piece of software</w:t>
            </w:r>
            <w:r w:rsidR="002C02EB">
              <w:t xml:space="preserve"> (tool)</w:t>
            </w:r>
            <w:r w:rsidR="002C02EB" w:rsidRPr="002C02EB">
              <w:t xml:space="preserve"> or an organization that has been involved in providing a translati</w:t>
            </w:r>
            <w:r w:rsidR="002C02EB">
              <w:t>on that resulted in the annotated</w:t>
            </w:r>
            <w:r w:rsidR="002C02EB" w:rsidRPr="002C02EB">
              <w:t xml:space="preserve"> content.</w:t>
            </w:r>
          </w:p>
        </w:tc>
      </w:tr>
      <w:tr w:rsidR="00C40E0D" w:rsidRPr="00C40E0D" w:rsidTr="008C241F">
        <w:tc>
          <w:tcPr>
            <w:tcW w:w="3227" w:type="dxa"/>
          </w:tcPr>
          <w:p w:rsidR="00C40E0D" w:rsidRPr="00C40E0D" w:rsidRDefault="00C40E0D" w:rsidP="00D71934">
            <w:r w:rsidRPr="00C40E0D">
              <w:t>org</w:t>
            </w:r>
          </w:p>
        </w:tc>
        <w:tc>
          <w:tcPr>
            <w:tcW w:w="6015" w:type="dxa"/>
          </w:tcPr>
          <w:p w:rsidR="00C40E0D" w:rsidRPr="00C40E0D" w:rsidRDefault="002C02EB" w:rsidP="00A277F3">
            <w:r>
              <w:t xml:space="preserve">Used to identify </w:t>
            </w:r>
            <w:r w:rsidR="00A277F3" w:rsidRPr="00A277F3">
              <w:t xml:space="preserve">an organisation </w:t>
            </w:r>
            <w:r>
              <w:t xml:space="preserve">involved in the translation </w:t>
            </w:r>
            <w:r w:rsidR="00A277F3">
              <w:t>that resulted in</w:t>
            </w:r>
            <w:r>
              <w:t xml:space="preserve"> the annotated content.</w:t>
            </w:r>
          </w:p>
        </w:tc>
      </w:tr>
      <w:tr w:rsidR="00C40E0D" w:rsidRPr="00C40E0D" w:rsidTr="008C241F">
        <w:tc>
          <w:tcPr>
            <w:tcW w:w="3227" w:type="dxa"/>
          </w:tcPr>
          <w:p w:rsidR="00C40E0D" w:rsidRPr="00C40E0D" w:rsidRDefault="00C02073" w:rsidP="00D71934">
            <w:proofErr w:type="spellStart"/>
            <w:r>
              <w:t>orgR</w:t>
            </w:r>
            <w:r w:rsidR="00C40E0D" w:rsidRPr="00C40E0D">
              <w:t>ef</w:t>
            </w:r>
            <w:proofErr w:type="spellEnd"/>
          </w:p>
        </w:tc>
        <w:tc>
          <w:tcPr>
            <w:tcW w:w="6015" w:type="dxa"/>
          </w:tcPr>
          <w:p w:rsidR="00C40E0D" w:rsidRPr="00C40E0D" w:rsidRDefault="00A277F3" w:rsidP="00D71934">
            <w:r>
              <w:t xml:space="preserve">An IRI referencing an organisation involved in the translation </w:t>
            </w:r>
            <w:r w:rsidRPr="00A277F3">
              <w:t>that resulted in</w:t>
            </w:r>
            <w:r>
              <w:t xml:space="preserve"> the annotated content.</w:t>
            </w:r>
          </w:p>
        </w:tc>
      </w:tr>
      <w:tr w:rsidR="00A277F3" w:rsidRPr="00C40E0D" w:rsidTr="008C241F">
        <w:tc>
          <w:tcPr>
            <w:tcW w:w="3227" w:type="dxa"/>
          </w:tcPr>
          <w:p w:rsidR="00A277F3" w:rsidRPr="00C40E0D" w:rsidRDefault="00A277F3" w:rsidP="00D71934">
            <w:r w:rsidRPr="00C40E0D">
              <w:t>person</w:t>
            </w:r>
          </w:p>
        </w:tc>
        <w:tc>
          <w:tcPr>
            <w:tcW w:w="6015" w:type="dxa"/>
          </w:tcPr>
          <w:p w:rsidR="00A277F3" w:rsidRPr="00C40E0D" w:rsidRDefault="00A277F3" w:rsidP="00A277F3">
            <w:r>
              <w:t xml:space="preserve">Used to identify </w:t>
            </w:r>
            <w:r>
              <w:t>a person</w:t>
            </w:r>
            <w:r w:rsidRPr="00A277F3">
              <w:t xml:space="preserve"> </w:t>
            </w:r>
            <w:r>
              <w:t xml:space="preserve">involved in the translation </w:t>
            </w:r>
            <w:r w:rsidRPr="00A277F3">
              <w:t>that resulted in</w:t>
            </w:r>
            <w:r>
              <w:t xml:space="preserve"> the annotated content.</w:t>
            </w:r>
          </w:p>
        </w:tc>
      </w:tr>
      <w:tr w:rsidR="00A277F3" w:rsidRPr="00C40E0D" w:rsidTr="008C241F">
        <w:tc>
          <w:tcPr>
            <w:tcW w:w="3227" w:type="dxa"/>
          </w:tcPr>
          <w:p w:rsidR="00A277F3" w:rsidRPr="00C40E0D" w:rsidRDefault="00A277F3" w:rsidP="00D71934">
            <w:proofErr w:type="spellStart"/>
            <w:r>
              <w:t>personR</w:t>
            </w:r>
            <w:r w:rsidRPr="00C40E0D">
              <w:t>ef</w:t>
            </w:r>
            <w:proofErr w:type="spellEnd"/>
          </w:p>
        </w:tc>
        <w:tc>
          <w:tcPr>
            <w:tcW w:w="6015" w:type="dxa"/>
          </w:tcPr>
          <w:p w:rsidR="00A277F3" w:rsidRPr="00C40E0D" w:rsidRDefault="00A277F3" w:rsidP="00A410C0">
            <w:r>
              <w:t>An IRI referencing a</w:t>
            </w:r>
            <w:r>
              <w:t xml:space="preserve"> person</w:t>
            </w:r>
            <w:r>
              <w:t xml:space="preserve"> involved in the translation </w:t>
            </w:r>
            <w:r w:rsidRPr="00A277F3">
              <w:t>that resulted in</w:t>
            </w:r>
            <w:r>
              <w:t xml:space="preserve"> the annotated content.</w:t>
            </w:r>
          </w:p>
        </w:tc>
      </w:tr>
      <w:tr w:rsidR="00C40E0D" w:rsidRPr="00C40E0D" w:rsidTr="008C241F">
        <w:tc>
          <w:tcPr>
            <w:tcW w:w="3227" w:type="dxa"/>
          </w:tcPr>
          <w:p w:rsidR="00C40E0D" w:rsidRPr="00C40E0D" w:rsidRDefault="00C02073" w:rsidP="00D71934">
            <w:proofErr w:type="spellStart"/>
            <w:r>
              <w:t>provR</w:t>
            </w:r>
            <w:r w:rsidR="00C40E0D" w:rsidRPr="00C40E0D">
              <w:t>ef</w:t>
            </w:r>
            <w:proofErr w:type="spellEnd"/>
          </w:p>
        </w:tc>
        <w:tc>
          <w:tcPr>
            <w:tcW w:w="6015" w:type="dxa"/>
          </w:tcPr>
          <w:p w:rsidR="00C40E0D" w:rsidRPr="00C40E0D" w:rsidRDefault="00A277F3" w:rsidP="00D71934">
            <w:r>
              <w:t>An IRI referencing external provenance information.</w:t>
            </w:r>
          </w:p>
        </w:tc>
      </w:tr>
      <w:tr w:rsidR="00C40E0D" w:rsidRPr="00C40E0D" w:rsidTr="008C241F">
        <w:tc>
          <w:tcPr>
            <w:tcW w:w="3227" w:type="dxa"/>
          </w:tcPr>
          <w:p w:rsidR="00C40E0D" w:rsidRPr="00C40E0D" w:rsidRDefault="00C02073" w:rsidP="00D71934">
            <w:proofErr w:type="spellStart"/>
            <w:r>
              <w:t>provenanceRecordsR</w:t>
            </w:r>
            <w:r w:rsidR="00C40E0D" w:rsidRPr="00C40E0D">
              <w:t>ef</w:t>
            </w:r>
            <w:proofErr w:type="spellEnd"/>
          </w:p>
        </w:tc>
        <w:tc>
          <w:tcPr>
            <w:tcW w:w="6015" w:type="dxa"/>
          </w:tcPr>
          <w:p w:rsidR="00C40E0D" w:rsidRPr="00C40E0D" w:rsidRDefault="002B4541" w:rsidP="002B4541">
            <w:r>
              <w:t xml:space="preserve">An IRI referencing a </w:t>
            </w:r>
            <w:proofErr w:type="spellStart"/>
            <w:r w:rsidR="002C02EB">
              <w:t>ProvRecord</w:t>
            </w:r>
            <w:proofErr w:type="spellEnd"/>
            <w:r w:rsidR="002C02EB">
              <w:t xml:space="preserve"> object</w:t>
            </w:r>
            <w:r>
              <w:t xml:space="preserve"> instance</w:t>
            </w:r>
            <w:r w:rsidR="002C02EB">
              <w:t>.</w:t>
            </w:r>
          </w:p>
        </w:tc>
      </w:tr>
      <w:tr w:rsidR="00A277F3" w:rsidRPr="00C40E0D" w:rsidTr="008C241F">
        <w:tc>
          <w:tcPr>
            <w:tcW w:w="3227" w:type="dxa"/>
          </w:tcPr>
          <w:p w:rsidR="00A277F3" w:rsidRPr="00C40E0D" w:rsidRDefault="00A277F3" w:rsidP="00D71934">
            <w:proofErr w:type="spellStart"/>
            <w:r>
              <w:t>revO</w:t>
            </w:r>
            <w:r w:rsidRPr="00C40E0D">
              <w:t>rg</w:t>
            </w:r>
            <w:proofErr w:type="spellEnd"/>
          </w:p>
        </w:tc>
        <w:tc>
          <w:tcPr>
            <w:tcW w:w="6015" w:type="dxa"/>
          </w:tcPr>
          <w:p w:rsidR="00A277F3" w:rsidRPr="00C40E0D" w:rsidRDefault="00A277F3" w:rsidP="00A410C0">
            <w:r>
              <w:t xml:space="preserve">Used to identify </w:t>
            </w:r>
            <w:r w:rsidRPr="00A277F3">
              <w:t xml:space="preserve">an organisation </w:t>
            </w:r>
            <w:r>
              <w:t xml:space="preserve">involved in the translation </w:t>
            </w:r>
            <w:r>
              <w:t xml:space="preserve">revision </w:t>
            </w:r>
            <w:r w:rsidRPr="00A277F3">
              <w:t>that resulted in</w:t>
            </w:r>
            <w:r>
              <w:t xml:space="preserve"> the annotated content.</w:t>
            </w:r>
          </w:p>
        </w:tc>
      </w:tr>
      <w:tr w:rsidR="00A277F3" w:rsidRPr="00C40E0D" w:rsidTr="008C241F">
        <w:tc>
          <w:tcPr>
            <w:tcW w:w="3227" w:type="dxa"/>
          </w:tcPr>
          <w:p w:rsidR="00A277F3" w:rsidRPr="00C40E0D" w:rsidRDefault="00A277F3" w:rsidP="00D71934">
            <w:proofErr w:type="spellStart"/>
            <w:r>
              <w:t>revOrgR</w:t>
            </w:r>
            <w:r w:rsidRPr="00C40E0D">
              <w:t>ef</w:t>
            </w:r>
            <w:proofErr w:type="spellEnd"/>
          </w:p>
        </w:tc>
        <w:tc>
          <w:tcPr>
            <w:tcW w:w="6015" w:type="dxa"/>
          </w:tcPr>
          <w:p w:rsidR="00A277F3" w:rsidRPr="00C40E0D" w:rsidRDefault="00A277F3" w:rsidP="00A410C0">
            <w:r>
              <w:t xml:space="preserve">An IRI referencing an organisation involved in the translation </w:t>
            </w:r>
            <w:r>
              <w:t xml:space="preserve">revision </w:t>
            </w:r>
            <w:r w:rsidRPr="00A277F3">
              <w:t>that resulted in</w:t>
            </w:r>
            <w:r>
              <w:t xml:space="preserve"> the annotated content.</w:t>
            </w:r>
          </w:p>
        </w:tc>
      </w:tr>
      <w:tr w:rsidR="00A277F3" w:rsidRPr="00C40E0D" w:rsidTr="008C241F">
        <w:tc>
          <w:tcPr>
            <w:tcW w:w="3227" w:type="dxa"/>
          </w:tcPr>
          <w:p w:rsidR="00A277F3" w:rsidRPr="00C40E0D" w:rsidRDefault="00A277F3" w:rsidP="00D71934">
            <w:proofErr w:type="spellStart"/>
            <w:r>
              <w:t>revP</w:t>
            </w:r>
            <w:r w:rsidRPr="00C40E0D">
              <w:t>erson</w:t>
            </w:r>
            <w:proofErr w:type="spellEnd"/>
          </w:p>
        </w:tc>
        <w:tc>
          <w:tcPr>
            <w:tcW w:w="6015" w:type="dxa"/>
          </w:tcPr>
          <w:p w:rsidR="00A277F3" w:rsidRPr="00C40E0D" w:rsidRDefault="00A277F3" w:rsidP="00A277F3">
            <w:r>
              <w:t xml:space="preserve">Used to identify </w:t>
            </w:r>
            <w:r>
              <w:t>a person</w:t>
            </w:r>
            <w:r w:rsidRPr="00A277F3">
              <w:t xml:space="preserve"> </w:t>
            </w:r>
            <w:r>
              <w:t xml:space="preserve">involved in </w:t>
            </w:r>
            <w:r>
              <w:t xml:space="preserve">the translation </w:t>
            </w:r>
            <w:r>
              <w:t xml:space="preserve">revision </w:t>
            </w:r>
            <w:r w:rsidRPr="00A277F3">
              <w:t>that resulted in</w:t>
            </w:r>
            <w:r>
              <w:t xml:space="preserve"> the annotated content.</w:t>
            </w:r>
          </w:p>
        </w:tc>
      </w:tr>
      <w:tr w:rsidR="00A277F3" w:rsidRPr="00C40E0D" w:rsidTr="008C241F">
        <w:tc>
          <w:tcPr>
            <w:tcW w:w="3227" w:type="dxa"/>
          </w:tcPr>
          <w:p w:rsidR="00A277F3" w:rsidRPr="00C40E0D" w:rsidRDefault="00A277F3" w:rsidP="00D71934">
            <w:proofErr w:type="spellStart"/>
            <w:r>
              <w:t>revPersonR</w:t>
            </w:r>
            <w:r w:rsidRPr="00C40E0D">
              <w:t>ef</w:t>
            </w:r>
            <w:proofErr w:type="spellEnd"/>
          </w:p>
        </w:tc>
        <w:tc>
          <w:tcPr>
            <w:tcW w:w="6015" w:type="dxa"/>
          </w:tcPr>
          <w:p w:rsidR="00A277F3" w:rsidRPr="00C40E0D" w:rsidRDefault="00A277F3" w:rsidP="00A277F3">
            <w:r>
              <w:t xml:space="preserve">An IRI referencing </w:t>
            </w:r>
            <w:r>
              <w:t>a person</w:t>
            </w:r>
            <w:r>
              <w:t xml:space="preserve"> involved in the translation </w:t>
            </w:r>
            <w:r>
              <w:t xml:space="preserve">revision </w:t>
            </w:r>
            <w:r w:rsidRPr="00A277F3">
              <w:t>that resulted in</w:t>
            </w:r>
            <w:r>
              <w:t xml:space="preserve"> the annotated content.</w:t>
            </w:r>
          </w:p>
        </w:tc>
      </w:tr>
      <w:tr w:rsidR="00A277F3" w:rsidRPr="00C40E0D" w:rsidTr="008C241F">
        <w:tc>
          <w:tcPr>
            <w:tcW w:w="3227" w:type="dxa"/>
          </w:tcPr>
          <w:p w:rsidR="00A277F3" w:rsidRPr="00C40E0D" w:rsidRDefault="00A277F3" w:rsidP="00D71934">
            <w:proofErr w:type="spellStart"/>
            <w:r>
              <w:t>revT</w:t>
            </w:r>
            <w:r w:rsidRPr="00C40E0D">
              <w:t>ool</w:t>
            </w:r>
            <w:proofErr w:type="spellEnd"/>
          </w:p>
        </w:tc>
        <w:tc>
          <w:tcPr>
            <w:tcW w:w="6015" w:type="dxa"/>
          </w:tcPr>
          <w:p w:rsidR="00A277F3" w:rsidRPr="00C40E0D" w:rsidRDefault="00A277F3" w:rsidP="00A410C0">
            <w:r>
              <w:t xml:space="preserve">Used to identify </w:t>
            </w:r>
            <w:r w:rsidRPr="00A277F3">
              <w:t xml:space="preserve">a software tool </w:t>
            </w:r>
            <w:r>
              <w:t xml:space="preserve">involved in </w:t>
            </w:r>
            <w:r>
              <w:t xml:space="preserve">the translation </w:t>
            </w:r>
            <w:r>
              <w:t xml:space="preserve">revision </w:t>
            </w:r>
            <w:r>
              <w:t>of the annotated content.</w:t>
            </w:r>
          </w:p>
        </w:tc>
      </w:tr>
      <w:tr w:rsidR="00A277F3" w:rsidRPr="00C40E0D" w:rsidTr="008C241F">
        <w:tc>
          <w:tcPr>
            <w:tcW w:w="3227" w:type="dxa"/>
          </w:tcPr>
          <w:p w:rsidR="00A277F3" w:rsidRPr="00C40E0D" w:rsidRDefault="00A277F3" w:rsidP="00D71934">
            <w:proofErr w:type="spellStart"/>
            <w:r>
              <w:t>revToolR</w:t>
            </w:r>
            <w:r w:rsidRPr="00C40E0D">
              <w:t>ef</w:t>
            </w:r>
            <w:proofErr w:type="spellEnd"/>
          </w:p>
        </w:tc>
        <w:tc>
          <w:tcPr>
            <w:tcW w:w="6015" w:type="dxa"/>
          </w:tcPr>
          <w:p w:rsidR="00A277F3" w:rsidRPr="00C40E0D" w:rsidRDefault="00A277F3" w:rsidP="00A410C0">
            <w:r>
              <w:t xml:space="preserve">An IRI referencing </w:t>
            </w:r>
            <w:r w:rsidRPr="00A277F3">
              <w:t xml:space="preserve">a software tool </w:t>
            </w:r>
            <w:r>
              <w:t xml:space="preserve">involved in the translation </w:t>
            </w:r>
            <w:r>
              <w:t xml:space="preserve">revision </w:t>
            </w:r>
            <w:r>
              <w:t>of the annotated content.</w:t>
            </w:r>
          </w:p>
        </w:tc>
      </w:tr>
      <w:tr w:rsidR="00A277F3" w:rsidRPr="00C40E0D" w:rsidTr="008C241F">
        <w:tc>
          <w:tcPr>
            <w:tcW w:w="3227" w:type="dxa"/>
          </w:tcPr>
          <w:p w:rsidR="00A277F3" w:rsidRPr="00C40E0D" w:rsidRDefault="00A277F3" w:rsidP="003D6A3C">
            <w:r>
              <w:t>t</w:t>
            </w:r>
            <w:r w:rsidRPr="00C40E0D">
              <w:t>ool</w:t>
            </w:r>
          </w:p>
        </w:tc>
        <w:tc>
          <w:tcPr>
            <w:tcW w:w="6015" w:type="dxa"/>
          </w:tcPr>
          <w:p w:rsidR="00A277F3" w:rsidRPr="00C40E0D" w:rsidRDefault="00A277F3" w:rsidP="00A410C0">
            <w:r>
              <w:t xml:space="preserve">Used to identify </w:t>
            </w:r>
            <w:r w:rsidRPr="00A277F3">
              <w:t>a</w:t>
            </w:r>
            <w:r>
              <w:t xml:space="preserve"> software tool</w:t>
            </w:r>
            <w:r w:rsidRPr="00A277F3">
              <w:t xml:space="preserve"> </w:t>
            </w:r>
            <w:r>
              <w:t xml:space="preserve">involved in the translation </w:t>
            </w:r>
            <w:r w:rsidRPr="00A277F3">
              <w:t xml:space="preserve">that resulted in </w:t>
            </w:r>
            <w:r>
              <w:t>the annotated content.</w:t>
            </w:r>
          </w:p>
        </w:tc>
      </w:tr>
      <w:tr w:rsidR="00A277F3" w:rsidRPr="00C40E0D" w:rsidTr="008C241F">
        <w:tc>
          <w:tcPr>
            <w:tcW w:w="3227" w:type="dxa"/>
          </w:tcPr>
          <w:p w:rsidR="00A277F3" w:rsidRPr="00C40E0D" w:rsidRDefault="00A277F3" w:rsidP="003D6A3C">
            <w:proofErr w:type="spellStart"/>
            <w:r>
              <w:t>toolR</w:t>
            </w:r>
            <w:r w:rsidRPr="00C40E0D">
              <w:t>ef</w:t>
            </w:r>
            <w:proofErr w:type="spellEnd"/>
          </w:p>
        </w:tc>
        <w:tc>
          <w:tcPr>
            <w:tcW w:w="6015" w:type="dxa"/>
          </w:tcPr>
          <w:p w:rsidR="00A277F3" w:rsidRPr="00C40E0D" w:rsidRDefault="00A277F3" w:rsidP="00A410C0">
            <w:r>
              <w:t xml:space="preserve">An IRI referencing </w:t>
            </w:r>
            <w:r w:rsidRPr="00A277F3">
              <w:t xml:space="preserve">a software tool </w:t>
            </w:r>
            <w:r>
              <w:t xml:space="preserve">involved in the translation </w:t>
            </w:r>
            <w:r w:rsidRPr="00A277F3">
              <w:lastRenderedPageBreak/>
              <w:t>that resulted in</w:t>
            </w:r>
            <w:r>
              <w:t xml:space="preserve"> the annotated content.</w:t>
            </w:r>
          </w:p>
        </w:tc>
      </w:tr>
      <w:tr w:rsidR="009D1148" w:rsidRPr="00C40E0D" w:rsidTr="00AF10F1">
        <w:tc>
          <w:tcPr>
            <w:tcW w:w="3227" w:type="dxa"/>
            <w:shd w:val="clear" w:color="auto" w:fill="D9D9D9" w:themeFill="background1" w:themeFillShade="D9"/>
          </w:tcPr>
          <w:p w:rsidR="009D1148" w:rsidRPr="00C40E0D" w:rsidRDefault="009D1148" w:rsidP="00D71934">
            <w:r>
              <w:lastRenderedPageBreak/>
              <w:t>Text Analysis</w:t>
            </w:r>
          </w:p>
        </w:tc>
        <w:tc>
          <w:tcPr>
            <w:tcW w:w="6015" w:type="dxa"/>
            <w:shd w:val="clear" w:color="auto" w:fill="D9D9D9" w:themeFill="background1" w:themeFillShade="D9"/>
          </w:tcPr>
          <w:p w:rsidR="009D1148" w:rsidRPr="00C40E0D" w:rsidRDefault="00FE66DB" w:rsidP="00D71934">
            <w:r>
              <w:t xml:space="preserve">This </w:t>
            </w:r>
            <w:r w:rsidRPr="00FE66DB">
              <w:t xml:space="preserve">data category is used to annotate content with lexical or conceptual information for the purpose of contextual disambiguation. This information can be provided by so-called text analysis software agents such as named entity recognizers, lexical concept </w:t>
            </w:r>
            <w:proofErr w:type="spellStart"/>
            <w:r w:rsidRPr="00FE66DB">
              <w:t>disambiguators</w:t>
            </w:r>
            <w:proofErr w:type="spellEnd"/>
            <w:r w:rsidRPr="00FE66DB">
              <w:t>, etc., and is represented by either string valued or IRI references to possible resource descriptions.</w:t>
            </w:r>
          </w:p>
        </w:tc>
      </w:tr>
      <w:tr w:rsidR="00C40E0D" w:rsidRPr="00C40E0D" w:rsidTr="008C241F">
        <w:tc>
          <w:tcPr>
            <w:tcW w:w="3227" w:type="dxa"/>
          </w:tcPr>
          <w:p w:rsidR="00C40E0D" w:rsidRPr="00C40E0D" w:rsidRDefault="00C02073" w:rsidP="00D71934">
            <w:proofErr w:type="spellStart"/>
            <w:r>
              <w:t>taClassR</w:t>
            </w:r>
            <w:r w:rsidR="00C40E0D" w:rsidRPr="00C40E0D">
              <w:t>ef</w:t>
            </w:r>
            <w:proofErr w:type="spellEnd"/>
          </w:p>
        </w:tc>
        <w:tc>
          <w:tcPr>
            <w:tcW w:w="6015" w:type="dxa"/>
          </w:tcPr>
          <w:p w:rsidR="00C40E0D" w:rsidRPr="00C40E0D" w:rsidRDefault="008B6C7E" w:rsidP="00F91E67">
            <w:r>
              <w:t xml:space="preserve">An IRI referencing the entity type or concept class information associated through text analysis </w:t>
            </w:r>
            <w:r w:rsidR="00F91E67">
              <w:t>of the annotated content</w:t>
            </w:r>
            <w:r>
              <w:t>.</w:t>
            </w:r>
          </w:p>
        </w:tc>
      </w:tr>
      <w:tr w:rsidR="00C40E0D" w:rsidRPr="00C40E0D" w:rsidTr="008C241F">
        <w:tc>
          <w:tcPr>
            <w:tcW w:w="3227" w:type="dxa"/>
          </w:tcPr>
          <w:p w:rsidR="00C40E0D" w:rsidRPr="00C40E0D" w:rsidRDefault="00C02073" w:rsidP="00D71934">
            <w:proofErr w:type="spellStart"/>
            <w:r>
              <w:t>taC</w:t>
            </w:r>
            <w:r w:rsidR="00C40E0D" w:rsidRPr="00C40E0D">
              <w:t>onfidence</w:t>
            </w:r>
            <w:proofErr w:type="spellEnd"/>
          </w:p>
        </w:tc>
        <w:tc>
          <w:tcPr>
            <w:tcW w:w="6015" w:type="dxa"/>
          </w:tcPr>
          <w:p w:rsidR="00C40E0D" w:rsidRPr="00C40E0D" w:rsidRDefault="008B6C7E" w:rsidP="008B6C7E">
            <w:r>
              <w:t xml:space="preserve">The confidence of the text analysis processing agent </w:t>
            </w:r>
            <w:r w:rsidRPr="008B6C7E">
              <w:t xml:space="preserve">in its computation </w:t>
            </w:r>
            <w:r>
              <w:t xml:space="preserve">of the text analysis annotations it provided of the annotated content. </w:t>
            </w:r>
          </w:p>
        </w:tc>
      </w:tr>
      <w:tr w:rsidR="00C40E0D" w:rsidRPr="00C40E0D" w:rsidTr="008C241F">
        <w:tc>
          <w:tcPr>
            <w:tcW w:w="3227" w:type="dxa"/>
          </w:tcPr>
          <w:p w:rsidR="00C40E0D" w:rsidRPr="00C40E0D" w:rsidRDefault="00C02073" w:rsidP="00D71934">
            <w:proofErr w:type="spellStart"/>
            <w:r>
              <w:t>taI</w:t>
            </w:r>
            <w:r w:rsidR="00C40E0D" w:rsidRPr="00C40E0D">
              <w:t>dent</w:t>
            </w:r>
            <w:proofErr w:type="spellEnd"/>
          </w:p>
        </w:tc>
        <w:tc>
          <w:tcPr>
            <w:tcW w:w="6015" w:type="dxa"/>
          </w:tcPr>
          <w:p w:rsidR="00C40E0D" w:rsidRPr="00C40E0D" w:rsidRDefault="008B6C7E" w:rsidP="002C02EB">
            <w:r w:rsidRPr="008B6C7E">
              <w:t xml:space="preserve">An </w:t>
            </w:r>
            <w:r>
              <w:t>identifier</w:t>
            </w:r>
            <w:r w:rsidRPr="008B6C7E">
              <w:t xml:space="preserve"> referencing the entity or concept information </w:t>
            </w:r>
            <w:r w:rsidR="00F91E67" w:rsidRPr="00F91E67">
              <w:t>associated with the annotated content using automated text analysis</w:t>
            </w:r>
            <w:r w:rsidRPr="008B6C7E">
              <w:t>.</w:t>
            </w:r>
            <w:r w:rsidR="002C02EB">
              <w:t xml:space="preserve"> The identifier should be unique within the collection resource identified in the </w:t>
            </w:r>
            <w:proofErr w:type="spellStart"/>
            <w:r w:rsidR="002C02EB">
              <w:t>taSource</w:t>
            </w:r>
            <w:proofErr w:type="spellEnd"/>
            <w:r w:rsidR="002C02EB">
              <w:t xml:space="preserve"> attribute of the annotated content.</w:t>
            </w:r>
          </w:p>
        </w:tc>
      </w:tr>
      <w:tr w:rsidR="00C40E0D" w:rsidRPr="00C40E0D" w:rsidTr="008C241F">
        <w:tc>
          <w:tcPr>
            <w:tcW w:w="3227" w:type="dxa"/>
          </w:tcPr>
          <w:p w:rsidR="00C40E0D" w:rsidRPr="00C40E0D" w:rsidRDefault="00C02073" w:rsidP="00D71934">
            <w:proofErr w:type="spellStart"/>
            <w:r>
              <w:t>taIdentR</w:t>
            </w:r>
            <w:r w:rsidR="00C40E0D" w:rsidRPr="00C40E0D">
              <w:t>ef</w:t>
            </w:r>
            <w:proofErr w:type="spellEnd"/>
          </w:p>
        </w:tc>
        <w:tc>
          <w:tcPr>
            <w:tcW w:w="6015" w:type="dxa"/>
          </w:tcPr>
          <w:p w:rsidR="00C40E0D" w:rsidRPr="00C40E0D" w:rsidRDefault="008B6C7E" w:rsidP="00F91E67">
            <w:r w:rsidRPr="008B6C7E">
              <w:t xml:space="preserve">An IRI referencing the entity </w:t>
            </w:r>
            <w:r>
              <w:t>or concept</w:t>
            </w:r>
            <w:r w:rsidRPr="008B6C7E">
              <w:t xml:space="preserve"> information associated </w:t>
            </w:r>
            <w:r w:rsidR="00F91E67">
              <w:t>with the annotated content using automated</w:t>
            </w:r>
            <w:r w:rsidRPr="008B6C7E">
              <w:t xml:space="preserve"> text analysis.</w:t>
            </w:r>
          </w:p>
        </w:tc>
      </w:tr>
      <w:tr w:rsidR="00C40E0D" w:rsidRPr="00C40E0D" w:rsidTr="008C241F">
        <w:tc>
          <w:tcPr>
            <w:tcW w:w="3227" w:type="dxa"/>
          </w:tcPr>
          <w:p w:rsidR="00C40E0D" w:rsidRPr="00C40E0D" w:rsidRDefault="00C02073" w:rsidP="00D71934">
            <w:proofErr w:type="spellStart"/>
            <w:r>
              <w:t>taS</w:t>
            </w:r>
            <w:r w:rsidR="00C40E0D" w:rsidRPr="00C40E0D">
              <w:t>ource</w:t>
            </w:r>
            <w:proofErr w:type="spellEnd"/>
          </w:p>
        </w:tc>
        <w:tc>
          <w:tcPr>
            <w:tcW w:w="6015" w:type="dxa"/>
          </w:tcPr>
          <w:p w:rsidR="00C40E0D" w:rsidRPr="00C40E0D" w:rsidRDefault="008B6C7E" w:rsidP="002C02EB">
            <w:r>
              <w:t xml:space="preserve">Identifies the </w:t>
            </w:r>
            <w:r w:rsidR="002C02EB">
              <w:t xml:space="preserve">collection resource from </w:t>
            </w:r>
            <w:r>
              <w:t xml:space="preserve">which the identifier </w:t>
            </w:r>
            <w:r w:rsidR="002C02EB">
              <w:t xml:space="preserve">that the </w:t>
            </w:r>
            <w:proofErr w:type="spellStart"/>
            <w:r w:rsidR="002C02EB">
              <w:t>taIdent</w:t>
            </w:r>
            <w:proofErr w:type="spellEnd"/>
            <w:r w:rsidR="002C02EB">
              <w:t xml:space="preserve"> property gives for the annotated content is sourced </w:t>
            </w:r>
          </w:p>
        </w:tc>
      </w:tr>
      <w:tr w:rsidR="00FE66DB" w:rsidRPr="00C40E0D" w:rsidTr="00A410C0">
        <w:tc>
          <w:tcPr>
            <w:tcW w:w="3227" w:type="dxa"/>
          </w:tcPr>
          <w:p w:rsidR="00FE66DB" w:rsidRDefault="00FE66DB" w:rsidP="00A410C0">
            <w:proofErr w:type="spellStart"/>
            <w:r>
              <w:t>term</w:t>
            </w:r>
            <w:r w:rsidRPr="00D952AD">
              <w:t>ConfidenceAnnotatorsRef</w:t>
            </w:r>
            <w:proofErr w:type="spellEnd"/>
          </w:p>
        </w:tc>
        <w:tc>
          <w:tcPr>
            <w:tcW w:w="6015" w:type="dxa"/>
          </w:tcPr>
          <w:p w:rsidR="00FE66DB" w:rsidRDefault="00FE66DB" w:rsidP="00A410C0">
            <w:r>
              <w:t>An IRI that references the p</w:t>
            </w:r>
            <w:r>
              <w:t xml:space="preserve">rocessor that generated the </w:t>
            </w:r>
            <w:proofErr w:type="spellStart"/>
            <w:r>
              <w:t>ta</w:t>
            </w:r>
            <w:r w:rsidR="00F91E67">
              <w:t>Confidence</w:t>
            </w:r>
            <w:proofErr w:type="spellEnd"/>
            <w:r w:rsidR="00F91E67">
              <w:t xml:space="preserve"> annotation for</w:t>
            </w:r>
            <w:r w:rsidR="008B6C7E">
              <w:t xml:space="preserve"> the annotated content.</w:t>
            </w:r>
            <w:r>
              <w:t xml:space="preserve"> </w:t>
            </w:r>
          </w:p>
        </w:tc>
      </w:tr>
      <w:tr w:rsidR="009D1148" w:rsidRPr="00C40E0D" w:rsidTr="00AF10F1">
        <w:tc>
          <w:tcPr>
            <w:tcW w:w="3227" w:type="dxa"/>
            <w:shd w:val="clear" w:color="auto" w:fill="D9D9D9" w:themeFill="background1" w:themeFillShade="D9"/>
          </w:tcPr>
          <w:p w:rsidR="009D1148" w:rsidRPr="00C40E0D" w:rsidRDefault="009D1148" w:rsidP="00D71934">
            <w:r>
              <w:t>Terminology</w:t>
            </w:r>
          </w:p>
        </w:tc>
        <w:tc>
          <w:tcPr>
            <w:tcW w:w="6015" w:type="dxa"/>
            <w:shd w:val="clear" w:color="auto" w:fill="D9D9D9" w:themeFill="background1" w:themeFillShade="D9"/>
          </w:tcPr>
          <w:p w:rsidR="009D1148" w:rsidRPr="00C40E0D" w:rsidRDefault="00574DC4" w:rsidP="00D71934">
            <w:r>
              <w:t>D</w:t>
            </w:r>
            <w:r w:rsidRPr="00574DC4">
              <w:t>ata category is used to mark terms and optionally associate them with information, such as definitions. This helps to increase consistency across different parts of the documentation. It is also helpful for translation.</w:t>
            </w:r>
          </w:p>
        </w:tc>
      </w:tr>
      <w:tr w:rsidR="00C40E0D" w:rsidRPr="00C40E0D" w:rsidTr="008C241F">
        <w:tc>
          <w:tcPr>
            <w:tcW w:w="3227" w:type="dxa"/>
          </w:tcPr>
          <w:p w:rsidR="00C40E0D" w:rsidRPr="00C40E0D" w:rsidRDefault="00C02073" w:rsidP="00D71934">
            <w:r>
              <w:t>t</w:t>
            </w:r>
            <w:r w:rsidR="00C40E0D" w:rsidRPr="00C40E0D">
              <w:t>erm</w:t>
            </w:r>
          </w:p>
        </w:tc>
        <w:tc>
          <w:tcPr>
            <w:tcW w:w="6015" w:type="dxa"/>
          </w:tcPr>
          <w:p w:rsidR="00C40E0D" w:rsidRPr="00C40E0D" w:rsidRDefault="00C40E0D" w:rsidP="00D71934">
            <w:r w:rsidRPr="00C40E0D">
              <w:t xml:space="preserve"> </w:t>
            </w:r>
            <w:proofErr w:type="gramStart"/>
            <w:r w:rsidRPr="00C40E0D">
              <w:t>The its</w:t>
            </w:r>
            <w:proofErr w:type="gramEnd"/>
            <w:r w:rsidRPr="00C40E0D">
              <w:t>-term attribute is used to mark terms so they can be recognized during translation process. This helps to increase consistency of translation across different parts of the documentation.</w:t>
            </w:r>
            <w:r w:rsidR="00574DC4">
              <w:t xml:space="preserve"> </w:t>
            </w:r>
            <w:r w:rsidR="00574DC4" w:rsidRPr="00574DC4">
              <w:t>It is also helpful for translation.</w:t>
            </w:r>
          </w:p>
        </w:tc>
      </w:tr>
      <w:tr w:rsidR="00C40E0D" w:rsidRPr="00C40E0D" w:rsidTr="008C241F">
        <w:tc>
          <w:tcPr>
            <w:tcW w:w="3227" w:type="dxa"/>
          </w:tcPr>
          <w:p w:rsidR="00C40E0D" w:rsidRPr="00C40E0D" w:rsidRDefault="00C02073" w:rsidP="00D71934">
            <w:proofErr w:type="spellStart"/>
            <w:r>
              <w:t>termC</w:t>
            </w:r>
            <w:r w:rsidR="00C40E0D" w:rsidRPr="00C40E0D">
              <w:t>onfidence</w:t>
            </w:r>
            <w:proofErr w:type="spellEnd"/>
          </w:p>
        </w:tc>
        <w:tc>
          <w:tcPr>
            <w:tcW w:w="6015" w:type="dxa"/>
          </w:tcPr>
          <w:p w:rsidR="00C40E0D" w:rsidRPr="00C40E0D" w:rsidRDefault="00574DC4" w:rsidP="00574DC4">
            <w:r>
              <w:t xml:space="preserve">Used to indicate </w:t>
            </w:r>
            <w:r w:rsidRPr="00574DC4">
              <w:t xml:space="preserve">the confidence of the agents producing the annotation that the annotated unit is a term or not. </w:t>
            </w:r>
            <w:r>
              <w:t xml:space="preserve">Its </w:t>
            </w:r>
            <w:r w:rsidRPr="00574DC4">
              <w:t>value</w:t>
            </w:r>
            <w:r>
              <w:t xml:space="preserve"> is</w:t>
            </w:r>
            <w:r w:rsidRPr="00574DC4">
              <w:t xml:space="preserve"> a rational number in the interval 0 to 1 (inclusive).</w:t>
            </w:r>
            <w:r>
              <w:t xml:space="preserve"> </w:t>
            </w:r>
            <w:r w:rsidRPr="00574DC4">
              <w:t>1 represents the highest level of confidence.</w:t>
            </w:r>
            <w:r>
              <w:t xml:space="preserve"> </w:t>
            </w:r>
          </w:p>
        </w:tc>
      </w:tr>
      <w:tr w:rsidR="00C40E0D" w:rsidRPr="00C40E0D" w:rsidTr="008C241F">
        <w:tc>
          <w:tcPr>
            <w:tcW w:w="3227" w:type="dxa"/>
          </w:tcPr>
          <w:p w:rsidR="00C40E0D" w:rsidRPr="00C40E0D" w:rsidRDefault="00C02073" w:rsidP="00D71934">
            <w:proofErr w:type="spellStart"/>
            <w:r>
              <w:t>termInfoR</w:t>
            </w:r>
            <w:r w:rsidR="00C40E0D" w:rsidRPr="00C40E0D">
              <w:t>ef</w:t>
            </w:r>
            <w:proofErr w:type="spellEnd"/>
          </w:p>
        </w:tc>
        <w:tc>
          <w:tcPr>
            <w:tcW w:w="6015" w:type="dxa"/>
          </w:tcPr>
          <w:p w:rsidR="00C40E0D" w:rsidRPr="00C40E0D" w:rsidRDefault="00C40E0D" w:rsidP="00D71934">
            <w:r w:rsidRPr="00C40E0D">
              <w:t xml:space="preserve"> </w:t>
            </w:r>
            <w:r w:rsidR="00574DC4">
              <w:t>An IRI that references a resource with information about the annotated term.</w:t>
            </w:r>
          </w:p>
        </w:tc>
      </w:tr>
      <w:tr w:rsidR="00FE66DB" w:rsidRPr="00C40E0D" w:rsidTr="00A410C0">
        <w:tc>
          <w:tcPr>
            <w:tcW w:w="3227" w:type="dxa"/>
          </w:tcPr>
          <w:p w:rsidR="00FE66DB" w:rsidRDefault="00FE66DB" w:rsidP="00A410C0">
            <w:proofErr w:type="spellStart"/>
            <w:r>
              <w:t>term</w:t>
            </w:r>
            <w:r w:rsidRPr="00D952AD">
              <w:t>ConfidenceAnnotatorsRef</w:t>
            </w:r>
            <w:proofErr w:type="spellEnd"/>
          </w:p>
        </w:tc>
        <w:tc>
          <w:tcPr>
            <w:tcW w:w="6015" w:type="dxa"/>
          </w:tcPr>
          <w:p w:rsidR="00FE66DB" w:rsidRDefault="00FE66DB" w:rsidP="00A410C0">
            <w:r>
              <w:t xml:space="preserve">An IRI that references the </w:t>
            </w:r>
            <w:r>
              <w:t xml:space="preserve">processor that generated the </w:t>
            </w:r>
            <w:proofErr w:type="spellStart"/>
            <w:r>
              <w:t>term</w:t>
            </w:r>
            <w:r>
              <w:t>Confidence</w:t>
            </w:r>
            <w:proofErr w:type="spellEnd"/>
            <w:r>
              <w:t xml:space="preserve"> annotation</w:t>
            </w:r>
            <w:r w:rsidR="00F91E67">
              <w:t xml:space="preserve"> for the annotated content.</w:t>
            </w:r>
          </w:p>
        </w:tc>
      </w:tr>
      <w:tr w:rsidR="00195D70" w:rsidTr="00AF10F1">
        <w:tc>
          <w:tcPr>
            <w:tcW w:w="3227" w:type="dxa"/>
            <w:shd w:val="clear" w:color="auto" w:fill="D9D9D9" w:themeFill="background1" w:themeFillShade="D9"/>
          </w:tcPr>
          <w:p w:rsidR="00195D70" w:rsidRDefault="00195D70" w:rsidP="00D71934">
            <w:r>
              <w:t>Translate</w:t>
            </w:r>
          </w:p>
        </w:tc>
        <w:tc>
          <w:tcPr>
            <w:tcW w:w="6015" w:type="dxa"/>
            <w:shd w:val="clear" w:color="auto" w:fill="D9D9D9" w:themeFill="background1" w:themeFillShade="D9"/>
          </w:tcPr>
          <w:p w:rsidR="00195D70" w:rsidRPr="00C40E0D" w:rsidRDefault="00C02073" w:rsidP="00D71934">
            <w:r>
              <w:t xml:space="preserve">This data category </w:t>
            </w:r>
            <w:r w:rsidR="00195D70" w:rsidRPr="00195D70">
              <w:t>expresses information about whether the content of an element or attribute is intended for translation or not.</w:t>
            </w:r>
          </w:p>
        </w:tc>
      </w:tr>
      <w:tr w:rsidR="00195D70" w:rsidTr="008C241F">
        <w:tc>
          <w:tcPr>
            <w:tcW w:w="3227" w:type="dxa"/>
          </w:tcPr>
          <w:p w:rsidR="00195D70" w:rsidRDefault="00C02073" w:rsidP="00D71934">
            <w:r>
              <w:t>t</w:t>
            </w:r>
            <w:r w:rsidR="00195D70">
              <w:t>ranslate</w:t>
            </w:r>
          </w:p>
        </w:tc>
        <w:tc>
          <w:tcPr>
            <w:tcW w:w="6015" w:type="dxa"/>
          </w:tcPr>
          <w:p w:rsidR="00195D70" w:rsidRPr="00C40E0D" w:rsidRDefault="00C02073" w:rsidP="00D71934">
            <w:r>
              <w:t>Used express</w:t>
            </w:r>
            <w:r w:rsidRPr="00C02073">
              <w:t xml:space="preserve"> information about whether the content of an element or attribute is intended for translation or not.</w:t>
            </w:r>
            <w:r>
              <w:t xml:space="preserve"> Its value is either</w:t>
            </w:r>
            <w:r w:rsidR="00195D70" w:rsidRPr="00195D70">
              <w:t xml:space="preserve"> "yes" (translatable) or "no" (not translatable).</w:t>
            </w:r>
          </w:p>
        </w:tc>
      </w:tr>
      <w:tr w:rsidR="009D1148" w:rsidTr="00AF10F1">
        <w:tc>
          <w:tcPr>
            <w:tcW w:w="3227" w:type="dxa"/>
            <w:shd w:val="clear" w:color="auto" w:fill="D9D9D9" w:themeFill="background1" w:themeFillShade="D9"/>
          </w:tcPr>
          <w:p w:rsidR="009D1148" w:rsidRPr="00C40E0D" w:rsidRDefault="009D1148" w:rsidP="00D71934">
            <w:r>
              <w:t>Element Within Text</w:t>
            </w:r>
          </w:p>
        </w:tc>
        <w:tc>
          <w:tcPr>
            <w:tcW w:w="6015" w:type="dxa"/>
            <w:shd w:val="clear" w:color="auto" w:fill="D9D9D9" w:themeFill="background1" w:themeFillShade="D9"/>
          </w:tcPr>
          <w:p w:rsidR="009D1148" w:rsidRPr="00C40E0D" w:rsidRDefault="00574DC4" w:rsidP="00D71934">
            <w:r>
              <w:t xml:space="preserve">This </w:t>
            </w:r>
            <w:r w:rsidRPr="00574DC4">
              <w:t>data category reveals if and how an element affects the way text content behaves from a linguistic viewpoint. This information is for example relevant to provide basic text segmentation hints for tools such as translation memory systems.</w:t>
            </w:r>
          </w:p>
        </w:tc>
      </w:tr>
      <w:tr w:rsidR="00C40E0D" w:rsidTr="008C241F">
        <w:tc>
          <w:tcPr>
            <w:tcW w:w="3227" w:type="dxa"/>
          </w:tcPr>
          <w:p w:rsidR="00C40E0D" w:rsidRPr="00C40E0D" w:rsidRDefault="00C40E0D" w:rsidP="00D71934">
            <w:r w:rsidRPr="00C40E0D">
              <w:lastRenderedPageBreak/>
              <w:t>within-text</w:t>
            </w:r>
          </w:p>
        </w:tc>
        <w:tc>
          <w:tcPr>
            <w:tcW w:w="6015" w:type="dxa"/>
          </w:tcPr>
          <w:p w:rsidR="00C40E0D" w:rsidRDefault="000D5DB1" w:rsidP="00F2009E">
            <w:r>
              <w:t xml:space="preserve">Used to indicate the relationship between some </w:t>
            </w:r>
            <w:r w:rsidR="008A5082">
              <w:t xml:space="preserve">marked up </w:t>
            </w:r>
            <w:r>
              <w:t xml:space="preserve">text </w:t>
            </w:r>
            <w:r w:rsidR="008A5082">
              <w:t xml:space="preserve">element </w:t>
            </w:r>
            <w:r>
              <w:t xml:space="preserve">and the surrounding text. It has values: “yes” if the text </w:t>
            </w:r>
            <w:r w:rsidR="008A5082">
              <w:t xml:space="preserve">element </w:t>
            </w:r>
            <w:r>
              <w:t xml:space="preserve">is part of the </w:t>
            </w:r>
            <w:r w:rsidR="008A5082">
              <w:t xml:space="preserve">flow and content of the </w:t>
            </w:r>
            <w:r>
              <w:t xml:space="preserve">surrounding text, e.g. text with emphasis </w:t>
            </w:r>
            <w:proofErr w:type="spellStart"/>
            <w:r>
              <w:t>markup</w:t>
            </w:r>
            <w:proofErr w:type="spellEnd"/>
            <w:r>
              <w:t>; “nested” if the text is part of the flow of the surrounding text</w:t>
            </w:r>
            <w:r w:rsidR="008A5082">
              <w:t xml:space="preserve"> but the content is not, e.g. text annotated as a footnote; and marked up text that splits the flow from the surrounding text, e.g. an individual bullet within a paragraph. </w:t>
            </w:r>
            <w:r>
              <w:t xml:space="preserve"> </w:t>
            </w:r>
          </w:p>
        </w:tc>
      </w:tr>
    </w:tbl>
    <w:p w:rsidR="00E72955" w:rsidRDefault="00E72955" w:rsidP="00C40E0D"/>
    <w:sectPr w:rsidR="00E72955" w:rsidSect="008C24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1299"/>
    <w:rsid w:val="00021194"/>
    <w:rsid w:val="000441E0"/>
    <w:rsid w:val="00070B14"/>
    <w:rsid w:val="000914A8"/>
    <w:rsid w:val="000A27DF"/>
    <w:rsid w:val="000C60F6"/>
    <w:rsid w:val="000D5DB1"/>
    <w:rsid w:val="000E2F43"/>
    <w:rsid w:val="0011518B"/>
    <w:rsid w:val="00130584"/>
    <w:rsid w:val="00133B39"/>
    <w:rsid w:val="00135206"/>
    <w:rsid w:val="00136A5F"/>
    <w:rsid w:val="001444F1"/>
    <w:rsid w:val="00161D8C"/>
    <w:rsid w:val="00164B0E"/>
    <w:rsid w:val="00165752"/>
    <w:rsid w:val="00190244"/>
    <w:rsid w:val="00195D70"/>
    <w:rsid w:val="001A1F1D"/>
    <w:rsid w:val="001A3191"/>
    <w:rsid w:val="001A494C"/>
    <w:rsid w:val="001B3085"/>
    <w:rsid w:val="001B3EB8"/>
    <w:rsid w:val="001C17A5"/>
    <w:rsid w:val="001C1F94"/>
    <w:rsid w:val="001F0A07"/>
    <w:rsid w:val="00213FDE"/>
    <w:rsid w:val="002170A4"/>
    <w:rsid w:val="00234DC3"/>
    <w:rsid w:val="00244019"/>
    <w:rsid w:val="00261FEE"/>
    <w:rsid w:val="0027537B"/>
    <w:rsid w:val="00287640"/>
    <w:rsid w:val="00290774"/>
    <w:rsid w:val="002B0F08"/>
    <w:rsid w:val="002B4541"/>
    <w:rsid w:val="002B6D04"/>
    <w:rsid w:val="002C02EB"/>
    <w:rsid w:val="00305FC8"/>
    <w:rsid w:val="00320794"/>
    <w:rsid w:val="00325336"/>
    <w:rsid w:val="003614C6"/>
    <w:rsid w:val="00363DAB"/>
    <w:rsid w:val="00367B53"/>
    <w:rsid w:val="00367F5E"/>
    <w:rsid w:val="003735B1"/>
    <w:rsid w:val="00391489"/>
    <w:rsid w:val="003A1CA6"/>
    <w:rsid w:val="003C3F44"/>
    <w:rsid w:val="003D14DF"/>
    <w:rsid w:val="003D7853"/>
    <w:rsid w:val="003E4708"/>
    <w:rsid w:val="003E574A"/>
    <w:rsid w:val="003E6395"/>
    <w:rsid w:val="00416D86"/>
    <w:rsid w:val="004304E6"/>
    <w:rsid w:val="00441A9D"/>
    <w:rsid w:val="00453111"/>
    <w:rsid w:val="00462BA0"/>
    <w:rsid w:val="00476C66"/>
    <w:rsid w:val="00477D14"/>
    <w:rsid w:val="004A5EFA"/>
    <w:rsid w:val="004A60F7"/>
    <w:rsid w:val="004C2956"/>
    <w:rsid w:val="004E3EA5"/>
    <w:rsid w:val="004F4DF1"/>
    <w:rsid w:val="00515EB1"/>
    <w:rsid w:val="0052551B"/>
    <w:rsid w:val="00526CD6"/>
    <w:rsid w:val="0053109C"/>
    <w:rsid w:val="005356DF"/>
    <w:rsid w:val="005608EA"/>
    <w:rsid w:val="00574DC4"/>
    <w:rsid w:val="00577F94"/>
    <w:rsid w:val="005A5915"/>
    <w:rsid w:val="005D3642"/>
    <w:rsid w:val="005F6F78"/>
    <w:rsid w:val="00605115"/>
    <w:rsid w:val="006102F7"/>
    <w:rsid w:val="00653D45"/>
    <w:rsid w:val="00661313"/>
    <w:rsid w:val="00665B1C"/>
    <w:rsid w:val="006872F0"/>
    <w:rsid w:val="0069740F"/>
    <w:rsid w:val="006A27AA"/>
    <w:rsid w:val="006D0152"/>
    <w:rsid w:val="006F0726"/>
    <w:rsid w:val="00701BD2"/>
    <w:rsid w:val="007915F0"/>
    <w:rsid w:val="007E6EEA"/>
    <w:rsid w:val="00803852"/>
    <w:rsid w:val="00811467"/>
    <w:rsid w:val="00831299"/>
    <w:rsid w:val="0085272E"/>
    <w:rsid w:val="00856802"/>
    <w:rsid w:val="008662FF"/>
    <w:rsid w:val="00883D43"/>
    <w:rsid w:val="00886A8F"/>
    <w:rsid w:val="008A5082"/>
    <w:rsid w:val="008B420F"/>
    <w:rsid w:val="008B6C7E"/>
    <w:rsid w:val="008C241F"/>
    <w:rsid w:val="008C53B4"/>
    <w:rsid w:val="008E180C"/>
    <w:rsid w:val="008F30E7"/>
    <w:rsid w:val="00920380"/>
    <w:rsid w:val="00967DBA"/>
    <w:rsid w:val="00997FB3"/>
    <w:rsid w:val="009A0DC2"/>
    <w:rsid w:val="009C04B3"/>
    <w:rsid w:val="009C1582"/>
    <w:rsid w:val="009C1AA8"/>
    <w:rsid w:val="009C4BCE"/>
    <w:rsid w:val="009D04CD"/>
    <w:rsid w:val="009D0EBF"/>
    <w:rsid w:val="009D1148"/>
    <w:rsid w:val="009D321E"/>
    <w:rsid w:val="009E20E5"/>
    <w:rsid w:val="009F570B"/>
    <w:rsid w:val="00A277F3"/>
    <w:rsid w:val="00A571CC"/>
    <w:rsid w:val="00A64290"/>
    <w:rsid w:val="00A735EF"/>
    <w:rsid w:val="00A84372"/>
    <w:rsid w:val="00A868C1"/>
    <w:rsid w:val="00AE5246"/>
    <w:rsid w:val="00AF10F1"/>
    <w:rsid w:val="00AF1CBA"/>
    <w:rsid w:val="00B21410"/>
    <w:rsid w:val="00B21AE7"/>
    <w:rsid w:val="00B30FB3"/>
    <w:rsid w:val="00B574F0"/>
    <w:rsid w:val="00B57D15"/>
    <w:rsid w:val="00B641EB"/>
    <w:rsid w:val="00B816AF"/>
    <w:rsid w:val="00BB4B6D"/>
    <w:rsid w:val="00BB4E2D"/>
    <w:rsid w:val="00BD47A9"/>
    <w:rsid w:val="00BF1EEF"/>
    <w:rsid w:val="00BF473C"/>
    <w:rsid w:val="00C02073"/>
    <w:rsid w:val="00C10B23"/>
    <w:rsid w:val="00C34C84"/>
    <w:rsid w:val="00C40E0D"/>
    <w:rsid w:val="00C551DE"/>
    <w:rsid w:val="00C72B5A"/>
    <w:rsid w:val="00C86488"/>
    <w:rsid w:val="00CA0C19"/>
    <w:rsid w:val="00CC2E39"/>
    <w:rsid w:val="00CC3F7C"/>
    <w:rsid w:val="00CE26AE"/>
    <w:rsid w:val="00CE3184"/>
    <w:rsid w:val="00CE61C8"/>
    <w:rsid w:val="00CF2DD2"/>
    <w:rsid w:val="00D13ED9"/>
    <w:rsid w:val="00D24D06"/>
    <w:rsid w:val="00D55394"/>
    <w:rsid w:val="00D7446B"/>
    <w:rsid w:val="00D952AD"/>
    <w:rsid w:val="00DA4823"/>
    <w:rsid w:val="00DD07D6"/>
    <w:rsid w:val="00DE1CFA"/>
    <w:rsid w:val="00E33966"/>
    <w:rsid w:val="00E44354"/>
    <w:rsid w:val="00E44E7E"/>
    <w:rsid w:val="00E72955"/>
    <w:rsid w:val="00E745F5"/>
    <w:rsid w:val="00E85AFB"/>
    <w:rsid w:val="00EF1185"/>
    <w:rsid w:val="00EF3EE5"/>
    <w:rsid w:val="00F2009E"/>
    <w:rsid w:val="00F258F3"/>
    <w:rsid w:val="00F37577"/>
    <w:rsid w:val="00F37784"/>
    <w:rsid w:val="00F445CB"/>
    <w:rsid w:val="00F66B77"/>
    <w:rsid w:val="00F754F4"/>
    <w:rsid w:val="00F75543"/>
    <w:rsid w:val="00F77C36"/>
    <w:rsid w:val="00F91E67"/>
    <w:rsid w:val="00FA5203"/>
    <w:rsid w:val="00FA66E8"/>
    <w:rsid w:val="00FE66DB"/>
    <w:rsid w:val="00FF65B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9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E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93709">
      <w:bodyDiv w:val="1"/>
      <w:marLeft w:val="0"/>
      <w:marRight w:val="0"/>
      <w:marTop w:val="0"/>
      <w:marBottom w:val="0"/>
      <w:divBdr>
        <w:top w:val="none" w:sz="0" w:space="0" w:color="auto"/>
        <w:left w:val="none" w:sz="0" w:space="0" w:color="auto"/>
        <w:bottom w:val="none" w:sz="0" w:space="0" w:color="auto"/>
        <w:right w:val="none" w:sz="0" w:space="0" w:color="auto"/>
      </w:divBdr>
    </w:div>
    <w:div w:id="14151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5</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Lewis</dc:creator>
  <cp:lastModifiedBy>David Lewis</cp:lastModifiedBy>
  <cp:revision>8</cp:revision>
  <dcterms:created xsi:type="dcterms:W3CDTF">2014-06-16T01:25:00Z</dcterms:created>
  <dcterms:modified xsi:type="dcterms:W3CDTF">2014-06-22T10:47:00Z</dcterms:modified>
</cp:coreProperties>
</file>